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DA367" w14:textId="77777777" w:rsidR="006514A3" w:rsidRPr="00350876" w:rsidRDefault="006514A3" w:rsidP="00B0087D">
      <w:pPr>
        <w:ind w:firstLine="540"/>
        <w:jc w:val="right"/>
        <w:rPr>
          <w:lang w:val="ro-RO"/>
        </w:rPr>
      </w:pPr>
      <w:r w:rsidRPr="00350876">
        <w:rPr>
          <w:lang w:val="ro-RO"/>
        </w:rPr>
        <w:t>Anexa nr. 1</w:t>
      </w:r>
    </w:p>
    <w:p w14:paraId="345DA368" w14:textId="77777777" w:rsidR="006514A3" w:rsidRPr="00350876" w:rsidRDefault="006514A3" w:rsidP="00B0087D">
      <w:pPr>
        <w:pStyle w:val="tt"/>
        <w:ind w:firstLine="540"/>
        <w:jc w:val="right"/>
        <w:rPr>
          <w:b w:val="0"/>
          <w:bCs w:val="0"/>
          <w:sz w:val="20"/>
          <w:szCs w:val="20"/>
          <w:lang w:val="ro-RO"/>
        </w:rPr>
      </w:pPr>
      <w:r w:rsidRPr="00350876">
        <w:rPr>
          <w:b w:val="0"/>
          <w:bCs w:val="0"/>
          <w:sz w:val="20"/>
          <w:szCs w:val="20"/>
          <w:lang w:val="ro-RO"/>
        </w:rPr>
        <w:t xml:space="preserve">la Regulamentul general de </w:t>
      </w:r>
    </w:p>
    <w:p w14:paraId="345DA369" w14:textId="77777777" w:rsidR="006514A3" w:rsidRPr="00350876" w:rsidRDefault="006514A3" w:rsidP="00B0087D">
      <w:pPr>
        <w:pStyle w:val="tt"/>
        <w:ind w:firstLine="540"/>
        <w:jc w:val="right"/>
        <w:rPr>
          <w:b w:val="0"/>
          <w:bCs w:val="0"/>
          <w:sz w:val="20"/>
          <w:szCs w:val="20"/>
          <w:lang w:val="ro-RO"/>
        </w:rPr>
      </w:pPr>
      <w:r w:rsidRPr="00350876">
        <w:rPr>
          <w:b w:val="0"/>
          <w:bCs w:val="0"/>
          <w:sz w:val="20"/>
          <w:szCs w:val="20"/>
          <w:lang w:val="ro-RO"/>
        </w:rPr>
        <w:t>metrologie legală de stabilire a normelor</w:t>
      </w:r>
    </w:p>
    <w:p w14:paraId="345DA36A" w14:textId="77777777" w:rsidR="006514A3" w:rsidRPr="00350876" w:rsidRDefault="006514A3" w:rsidP="00B0087D">
      <w:pPr>
        <w:pStyle w:val="tt"/>
        <w:ind w:firstLine="540"/>
        <w:jc w:val="right"/>
        <w:rPr>
          <w:b w:val="0"/>
          <w:bCs w:val="0"/>
          <w:sz w:val="20"/>
          <w:szCs w:val="20"/>
          <w:lang w:val="ro-RO"/>
        </w:rPr>
      </w:pPr>
      <w:r w:rsidRPr="00350876">
        <w:rPr>
          <w:b w:val="0"/>
          <w:bCs w:val="0"/>
          <w:sz w:val="20"/>
          <w:szCs w:val="20"/>
          <w:lang w:val="ro-RO"/>
        </w:rPr>
        <w:t xml:space="preserve">privind </w:t>
      </w:r>
      <w:proofErr w:type="spellStart"/>
      <w:r w:rsidRPr="00350876">
        <w:rPr>
          <w:b w:val="0"/>
          <w:bCs w:val="0"/>
          <w:sz w:val="20"/>
          <w:szCs w:val="20"/>
          <w:lang w:val="ro-RO"/>
        </w:rPr>
        <w:t>cantităţile</w:t>
      </w:r>
      <w:proofErr w:type="spellEnd"/>
      <w:r w:rsidRPr="00350876">
        <w:rPr>
          <w:b w:val="0"/>
          <w:bCs w:val="0"/>
          <w:sz w:val="20"/>
          <w:szCs w:val="20"/>
          <w:lang w:val="ro-RO"/>
        </w:rPr>
        <w:t xml:space="preserve"> nominale ale produselor</w:t>
      </w:r>
    </w:p>
    <w:p w14:paraId="345DA36B" w14:textId="77777777" w:rsidR="006514A3" w:rsidRPr="00CE4AD0" w:rsidRDefault="006514A3" w:rsidP="00B0087D">
      <w:pPr>
        <w:pStyle w:val="tt"/>
        <w:ind w:firstLine="540"/>
        <w:jc w:val="right"/>
        <w:rPr>
          <w:b w:val="0"/>
          <w:bCs w:val="0"/>
          <w:lang w:val="ro-RO"/>
        </w:rPr>
      </w:pPr>
      <w:r w:rsidRPr="00350876">
        <w:rPr>
          <w:b w:val="0"/>
          <w:bCs w:val="0"/>
          <w:sz w:val="20"/>
          <w:szCs w:val="20"/>
          <w:lang w:val="ro-RO"/>
        </w:rPr>
        <w:t>preambalate</w:t>
      </w:r>
    </w:p>
    <w:p w14:paraId="345DA36C" w14:textId="77777777" w:rsidR="006514A3" w:rsidRPr="00CE4AD0" w:rsidRDefault="006514A3" w:rsidP="00140945">
      <w:pPr>
        <w:pStyle w:val="tt"/>
        <w:ind w:left="-26"/>
        <w:rPr>
          <w:b w:val="0"/>
          <w:bCs w:val="0"/>
          <w:lang w:val="ro-RO"/>
        </w:rPr>
      </w:pPr>
    </w:p>
    <w:p w14:paraId="345DA36D" w14:textId="77777777" w:rsidR="006514A3" w:rsidRPr="00CE4AD0" w:rsidRDefault="006514A3" w:rsidP="00140945">
      <w:pPr>
        <w:ind w:left="-26" w:firstLine="709"/>
        <w:jc w:val="center"/>
        <w:rPr>
          <w:b/>
          <w:bCs/>
          <w:sz w:val="24"/>
          <w:szCs w:val="24"/>
          <w:lang w:val="ro-RO"/>
        </w:rPr>
      </w:pPr>
    </w:p>
    <w:p w14:paraId="345DA36E" w14:textId="77777777" w:rsidR="006514A3" w:rsidRPr="00CE4AD0" w:rsidRDefault="006514A3" w:rsidP="001C2D9C">
      <w:pPr>
        <w:ind w:left="-26" w:firstLine="593"/>
        <w:jc w:val="center"/>
        <w:rPr>
          <w:b/>
          <w:bCs/>
          <w:sz w:val="24"/>
          <w:szCs w:val="24"/>
          <w:lang w:val="ro-RO"/>
        </w:rPr>
      </w:pPr>
    </w:p>
    <w:p w14:paraId="345DA36F" w14:textId="77777777" w:rsidR="006514A3" w:rsidRPr="00CE4AD0" w:rsidRDefault="006514A3" w:rsidP="001C2D9C">
      <w:pPr>
        <w:ind w:left="-26" w:firstLine="593"/>
        <w:jc w:val="center"/>
        <w:rPr>
          <w:b/>
          <w:bCs/>
          <w:sz w:val="24"/>
          <w:szCs w:val="24"/>
          <w:lang w:val="ro-RO"/>
        </w:rPr>
      </w:pPr>
      <w:r w:rsidRPr="00CE4AD0">
        <w:rPr>
          <w:b/>
          <w:bCs/>
          <w:sz w:val="24"/>
          <w:szCs w:val="24"/>
          <w:lang w:val="ro-RO"/>
        </w:rPr>
        <w:t xml:space="preserve">CERINŢE TEHNICE ŞI METROLOGICE. </w:t>
      </w:r>
    </w:p>
    <w:p w14:paraId="345DA370" w14:textId="77777777" w:rsidR="006514A3" w:rsidRPr="00CE4AD0" w:rsidRDefault="006514A3" w:rsidP="001C2D9C">
      <w:pPr>
        <w:ind w:firstLine="593"/>
        <w:jc w:val="center"/>
        <w:rPr>
          <w:sz w:val="24"/>
          <w:szCs w:val="24"/>
          <w:lang w:val="ro-RO"/>
        </w:rPr>
      </w:pPr>
      <w:r w:rsidRPr="00CE4AD0">
        <w:rPr>
          <w:b/>
          <w:bCs/>
          <w:sz w:val="24"/>
          <w:szCs w:val="24"/>
          <w:lang w:val="ro-RO"/>
        </w:rPr>
        <w:t>RESPONSABILITĂŢI</w:t>
      </w:r>
    </w:p>
    <w:p w14:paraId="345DA371" w14:textId="77777777" w:rsidR="006514A3" w:rsidRPr="00CE4AD0" w:rsidRDefault="006514A3" w:rsidP="001C2D9C">
      <w:pPr>
        <w:ind w:firstLine="593"/>
        <w:jc w:val="center"/>
        <w:rPr>
          <w:b/>
          <w:bCs/>
          <w:sz w:val="24"/>
          <w:szCs w:val="24"/>
          <w:lang w:val="ro-RO"/>
        </w:rPr>
      </w:pPr>
    </w:p>
    <w:p w14:paraId="345DA372" w14:textId="77777777" w:rsidR="006514A3" w:rsidRPr="00CE4AD0" w:rsidRDefault="006514A3" w:rsidP="001C2D9C">
      <w:pPr>
        <w:ind w:firstLine="593"/>
        <w:jc w:val="center"/>
        <w:rPr>
          <w:b/>
          <w:bCs/>
          <w:sz w:val="24"/>
          <w:szCs w:val="24"/>
          <w:lang w:val="ro-RO"/>
        </w:rPr>
      </w:pPr>
      <w:r w:rsidRPr="00CE4AD0">
        <w:rPr>
          <w:b/>
          <w:bCs/>
          <w:sz w:val="24"/>
          <w:szCs w:val="24"/>
          <w:lang w:val="ro-RO"/>
        </w:rPr>
        <w:t>I. OBIECTIVE</w:t>
      </w:r>
    </w:p>
    <w:p w14:paraId="345DA373" w14:textId="77777777" w:rsidR="006514A3" w:rsidRPr="00CE4AD0" w:rsidRDefault="006514A3" w:rsidP="001C2D9C">
      <w:pPr>
        <w:ind w:firstLine="593"/>
        <w:jc w:val="both"/>
        <w:rPr>
          <w:sz w:val="24"/>
          <w:szCs w:val="24"/>
          <w:lang w:val="ro-RO"/>
        </w:rPr>
      </w:pPr>
      <w:r w:rsidRPr="00CE4AD0">
        <w:rPr>
          <w:sz w:val="24"/>
          <w:szCs w:val="24"/>
          <w:lang w:val="ro-RO"/>
        </w:rPr>
        <w:t xml:space="preserve">1. Produsele preambalate reglementate prin prezentul Regulament trebuie realizate astfel </w:t>
      </w:r>
      <w:proofErr w:type="spellStart"/>
      <w:r w:rsidRPr="00CE4AD0">
        <w:rPr>
          <w:sz w:val="24"/>
          <w:szCs w:val="24"/>
          <w:lang w:val="ro-RO"/>
        </w:rPr>
        <w:t>încît</w:t>
      </w:r>
      <w:proofErr w:type="spellEnd"/>
      <w:r w:rsidRPr="00CE4AD0">
        <w:rPr>
          <w:sz w:val="24"/>
          <w:szCs w:val="24"/>
          <w:lang w:val="ro-RO"/>
        </w:rPr>
        <w:t xml:space="preserve"> să satisfacă următoarele </w:t>
      </w:r>
      <w:proofErr w:type="spellStart"/>
      <w:r w:rsidRPr="00CE4AD0">
        <w:rPr>
          <w:sz w:val="24"/>
          <w:szCs w:val="24"/>
          <w:lang w:val="ro-RO"/>
        </w:rPr>
        <w:t>cerinţe</w:t>
      </w:r>
      <w:proofErr w:type="spellEnd"/>
      <w:r w:rsidRPr="00CE4AD0">
        <w:rPr>
          <w:sz w:val="24"/>
          <w:szCs w:val="24"/>
          <w:lang w:val="ro-RO"/>
        </w:rPr>
        <w:t>:</w:t>
      </w:r>
    </w:p>
    <w:p w14:paraId="345DA374" w14:textId="77777777" w:rsidR="006514A3" w:rsidRPr="00CE4AD0" w:rsidRDefault="006514A3" w:rsidP="001C2D9C">
      <w:pPr>
        <w:ind w:firstLine="593"/>
        <w:jc w:val="both"/>
        <w:rPr>
          <w:sz w:val="24"/>
          <w:szCs w:val="24"/>
          <w:lang w:val="ro-RO"/>
        </w:rPr>
      </w:pPr>
      <w:r w:rsidRPr="00CE4AD0">
        <w:rPr>
          <w:sz w:val="24"/>
          <w:szCs w:val="24"/>
          <w:lang w:val="ro-RO"/>
        </w:rPr>
        <w:t xml:space="preserve">1) </w:t>
      </w:r>
      <w:proofErr w:type="spellStart"/>
      <w:r w:rsidRPr="00CE4AD0">
        <w:rPr>
          <w:sz w:val="24"/>
          <w:szCs w:val="24"/>
          <w:lang w:val="ro-RO"/>
        </w:rPr>
        <w:t>conţinutul</w:t>
      </w:r>
      <w:proofErr w:type="spellEnd"/>
      <w:r w:rsidRPr="00CE4AD0">
        <w:rPr>
          <w:sz w:val="24"/>
          <w:szCs w:val="24"/>
          <w:lang w:val="ro-RO"/>
        </w:rPr>
        <w:t xml:space="preserve"> real al preambalatelor să nu fie mai mic, în medie, </w:t>
      </w:r>
      <w:proofErr w:type="spellStart"/>
      <w:r w:rsidRPr="00CE4AD0">
        <w:rPr>
          <w:sz w:val="24"/>
          <w:szCs w:val="24"/>
          <w:lang w:val="ro-RO"/>
        </w:rPr>
        <w:t>decît</w:t>
      </w:r>
      <w:proofErr w:type="spellEnd"/>
      <w:r w:rsidRPr="00CE4AD0">
        <w:rPr>
          <w:sz w:val="24"/>
          <w:szCs w:val="24"/>
          <w:lang w:val="ro-RO"/>
        </w:rPr>
        <w:t xml:space="preserve"> cantitatea nominală;</w:t>
      </w:r>
    </w:p>
    <w:p w14:paraId="345DA375" w14:textId="77777777" w:rsidR="006514A3" w:rsidRPr="00CE4AD0" w:rsidRDefault="006514A3" w:rsidP="001C2D9C">
      <w:pPr>
        <w:ind w:firstLine="593"/>
        <w:jc w:val="both"/>
        <w:rPr>
          <w:sz w:val="24"/>
          <w:szCs w:val="24"/>
          <w:lang w:val="ro-RO"/>
        </w:rPr>
      </w:pPr>
      <w:r w:rsidRPr="00CE4AD0">
        <w:rPr>
          <w:sz w:val="24"/>
          <w:szCs w:val="24"/>
          <w:lang w:val="ro-RO"/>
        </w:rPr>
        <w:t xml:space="preserve">2) </w:t>
      </w:r>
      <w:proofErr w:type="spellStart"/>
      <w:r w:rsidRPr="00CE4AD0">
        <w:rPr>
          <w:sz w:val="24"/>
          <w:szCs w:val="24"/>
          <w:lang w:val="ro-RO"/>
        </w:rPr>
        <w:t>proporţia</w:t>
      </w:r>
      <w:proofErr w:type="spellEnd"/>
      <w:r w:rsidRPr="00CE4AD0">
        <w:rPr>
          <w:sz w:val="24"/>
          <w:szCs w:val="24"/>
          <w:lang w:val="ro-RO"/>
        </w:rPr>
        <w:t xml:space="preserve"> preambalatelor care au o eroare negativă mai mare </w:t>
      </w:r>
      <w:proofErr w:type="spellStart"/>
      <w:r w:rsidRPr="00CE4AD0">
        <w:rPr>
          <w:sz w:val="24"/>
          <w:szCs w:val="24"/>
          <w:lang w:val="ro-RO"/>
        </w:rPr>
        <w:t>decît</w:t>
      </w:r>
      <w:proofErr w:type="spellEnd"/>
      <w:r w:rsidRPr="00CE4AD0">
        <w:rPr>
          <w:sz w:val="24"/>
          <w:szCs w:val="24"/>
          <w:lang w:val="ro-RO"/>
        </w:rPr>
        <w:t xml:space="preserve"> eroarea maximă negativă tolerată, stabilită în tabelul 1 din prezenta anexă, trebuie să fie suficient de mică, astfel </w:t>
      </w:r>
      <w:proofErr w:type="spellStart"/>
      <w:r w:rsidRPr="00CE4AD0">
        <w:rPr>
          <w:sz w:val="24"/>
          <w:szCs w:val="24"/>
          <w:lang w:val="ro-RO"/>
        </w:rPr>
        <w:t>încît</w:t>
      </w:r>
      <w:proofErr w:type="spellEnd"/>
      <w:r w:rsidRPr="00CE4AD0">
        <w:rPr>
          <w:sz w:val="24"/>
          <w:szCs w:val="24"/>
          <w:lang w:val="ro-RO"/>
        </w:rPr>
        <w:t xml:space="preserve"> loturile de preambalate să corespundă </w:t>
      </w:r>
      <w:proofErr w:type="spellStart"/>
      <w:r w:rsidRPr="00CE4AD0">
        <w:rPr>
          <w:sz w:val="24"/>
          <w:szCs w:val="24"/>
          <w:lang w:val="ro-RO"/>
        </w:rPr>
        <w:t>cerinţelor</w:t>
      </w:r>
      <w:proofErr w:type="spellEnd"/>
      <w:r w:rsidRPr="00CE4AD0">
        <w:rPr>
          <w:sz w:val="24"/>
          <w:szCs w:val="24"/>
          <w:lang w:val="ro-RO"/>
        </w:rPr>
        <w:t xml:space="preserve"> de verificare specificate în anexa nr.2 la prezentul Regulament;</w:t>
      </w:r>
    </w:p>
    <w:p w14:paraId="345DA376" w14:textId="1D0E536F" w:rsidR="006514A3" w:rsidRDefault="006514A3" w:rsidP="001C2D9C">
      <w:pPr>
        <w:ind w:firstLine="593"/>
        <w:rPr>
          <w:sz w:val="24"/>
          <w:szCs w:val="24"/>
          <w:lang w:val="ro-RO"/>
        </w:rPr>
      </w:pPr>
      <w:r w:rsidRPr="00CE4AD0">
        <w:rPr>
          <w:sz w:val="24"/>
          <w:szCs w:val="24"/>
          <w:lang w:val="ro-RO"/>
        </w:rPr>
        <w:t xml:space="preserve">3) nici un preambalat care are eroarea negativă mai mare </w:t>
      </w:r>
      <w:proofErr w:type="spellStart"/>
      <w:r w:rsidRPr="00CE4AD0">
        <w:rPr>
          <w:sz w:val="24"/>
          <w:szCs w:val="24"/>
          <w:lang w:val="ro-RO"/>
        </w:rPr>
        <w:t>decît</w:t>
      </w:r>
      <w:proofErr w:type="spellEnd"/>
      <w:r w:rsidRPr="00CE4AD0">
        <w:rPr>
          <w:sz w:val="24"/>
          <w:szCs w:val="24"/>
          <w:lang w:val="ro-RO"/>
        </w:rPr>
        <w:t xml:space="preserve"> dublul erorii maxime negative tolerate cuprinse în tabelul 1 din prezenta anexă nu trebuie să fie marcat cu marcajul „e” </w:t>
      </w:r>
      <w:proofErr w:type="spellStart"/>
      <w:r w:rsidRPr="00CE4AD0">
        <w:rPr>
          <w:sz w:val="24"/>
          <w:szCs w:val="24"/>
          <w:lang w:val="ro-RO"/>
        </w:rPr>
        <w:t>menţionat</w:t>
      </w:r>
      <w:proofErr w:type="spellEnd"/>
      <w:r w:rsidRPr="00CE4AD0">
        <w:rPr>
          <w:sz w:val="24"/>
          <w:szCs w:val="24"/>
          <w:lang w:val="ro-RO"/>
        </w:rPr>
        <w:t xml:space="preserve"> la pct. 7 </w:t>
      </w:r>
      <w:proofErr w:type="spellStart"/>
      <w:r w:rsidRPr="00CE4AD0">
        <w:rPr>
          <w:sz w:val="24"/>
          <w:szCs w:val="24"/>
          <w:lang w:val="ro-RO"/>
        </w:rPr>
        <w:t>subpct</w:t>
      </w:r>
      <w:proofErr w:type="spellEnd"/>
      <w:r w:rsidRPr="00CE4AD0">
        <w:rPr>
          <w:sz w:val="24"/>
          <w:szCs w:val="24"/>
          <w:lang w:val="ro-RO"/>
        </w:rPr>
        <w:t>. 3) din această anexă.</w:t>
      </w:r>
    </w:p>
    <w:p w14:paraId="444ED75E" w14:textId="77777777" w:rsidR="001C2D9C" w:rsidRPr="00CE4AD0" w:rsidRDefault="001C2D9C" w:rsidP="001C2D9C">
      <w:pPr>
        <w:ind w:firstLine="593"/>
        <w:rPr>
          <w:sz w:val="24"/>
          <w:szCs w:val="24"/>
          <w:lang w:val="ro-RO"/>
        </w:rPr>
      </w:pPr>
    </w:p>
    <w:p w14:paraId="345DA378" w14:textId="77777777" w:rsidR="006514A3" w:rsidRPr="00CE4AD0" w:rsidRDefault="006514A3" w:rsidP="001C2D9C">
      <w:pPr>
        <w:ind w:firstLine="593"/>
        <w:jc w:val="center"/>
        <w:rPr>
          <w:b/>
          <w:bCs/>
          <w:sz w:val="24"/>
          <w:szCs w:val="24"/>
          <w:lang w:val="ro-RO"/>
        </w:rPr>
      </w:pPr>
      <w:r w:rsidRPr="00CE4AD0">
        <w:rPr>
          <w:b/>
          <w:bCs/>
          <w:sz w:val="24"/>
          <w:szCs w:val="24"/>
          <w:lang w:val="ro-RO"/>
        </w:rPr>
        <w:t>II. DEFINIŢII  ŞI  PREVEDERI  DE  BAZĂ</w:t>
      </w:r>
    </w:p>
    <w:p w14:paraId="345DA37A" w14:textId="5FD1C18C" w:rsidR="006514A3" w:rsidRPr="00CE4AD0" w:rsidRDefault="006514A3" w:rsidP="001C2D9C">
      <w:pPr>
        <w:ind w:firstLine="593"/>
        <w:jc w:val="both"/>
        <w:rPr>
          <w:sz w:val="24"/>
          <w:szCs w:val="24"/>
          <w:lang w:val="ro-RO"/>
        </w:rPr>
      </w:pPr>
      <w:r w:rsidRPr="00CE4AD0">
        <w:rPr>
          <w:sz w:val="24"/>
          <w:szCs w:val="24"/>
          <w:lang w:val="ro-RO"/>
        </w:rPr>
        <w:t xml:space="preserve">2. </w:t>
      </w:r>
      <w:r w:rsidRPr="00CE4AD0">
        <w:rPr>
          <w:i/>
          <w:iCs/>
          <w:sz w:val="24"/>
          <w:szCs w:val="24"/>
          <w:lang w:val="ro-RO"/>
        </w:rPr>
        <w:t>Cantitatea nominală</w:t>
      </w:r>
      <w:r w:rsidRPr="00CE4AD0">
        <w:rPr>
          <w:sz w:val="24"/>
          <w:szCs w:val="24"/>
          <w:lang w:val="ro-RO"/>
        </w:rPr>
        <w:t xml:space="preserve"> (masa nominală sau volumul nominal) a </w:t>
      </w:r>
      <w:proofErr w:type="spellStart"/>
      <w:r w:rsidRPr="00CE4AD0">
        <w:rPr>
          <w:sz w:val="24"/>
          <w:szCs w:val="24"/>
          <w:lang w:val="ro-RO"/>
        </w:rPr>
        <w:t>conţinutului</w:t>
      </w:r>
      <w:proofErr w:type="spellEnd"/>
      <w:r w:rsidRPr="00CE4AD0">
        <w:rPr>
          <w:sz w:val="24"/>
          <w:szCs w:val="24"/>
          <w:lang w:val="ro-RO"/>
        </w:rPr>
        <w:t xml:space="preserve"> unui preambalat reprezintă masa sau volumul indicat pe preambalat, deci cantitatea de produs pe care trebuie să îl </w:t>
      </w:r>
      <w:proofErr w:type="spellStart"/>
      <w:r w:rsidRPr="00CE4AD0">
        <w:rPr>
          <w:sz w:val="24"/>
          <w:szCs w:val="24"/>
          <w:lang w:val="ro-RO"/>
        </w:rPr>
        <w:t>conţină</w:t>
      </w:r>
      <w:proofErr w:type="spellEnd"/>
      <w:r w:rsidRPr="00CE4AD0">
        <w:rPr>
          <w:sz w:val="24"/>
          <w:szCs w:val="24"/>
          <w:lang w:val="ro-RO"/>
        </w:rPr>
        <w:t xml:space="preserve"> preambalatul.</w:t>
      </w:r>
    </w:p>
    <w:p w14:paraId="345DA37C" w14:textId="61193DFA" w:rsidR="006514A3" w:rsidRPr="00CE4AD0" w:rsidRDefault="006514A3" w:rsidP="001C2D9C">
      <w:pPr>
        <w:ind w:firstLine="593"/>
        <w:jc w:val="both"/>
        <w:rPr>
          <w:sz w:val="24"/>
          <w:szCs w:val="24"/>
          <w:lang w:val="ro-RO"/>
        </w:rPr>
      </w:pPr>
      <w:r w:rsidRPr="00CE4AD0">
        <w:rPr>
          <w:sz w:val="24"/>
          <w:szCs w:val="24"/>
          <w:lang w:val="ro-RO"/>
        </w:rPr>
        <w:t xml:space="preserve">3. </w:t>
      </w:r>
      <w:proofErr w:type="spellStart"/>
      <w:r w:rsidRPr="00CE4AD0">
        <w:rPr>
          <w:i/>
          <w:iCs/>
          <w:sz w:val="24"/>
          <w:szCs w:val="24"/>
          <w:lang w:val="ro-RO"/>
        </w:rPr>
        <w:t>Conţinutul</w:t>
      </w:r>
      <w:proofErr w:type="spellEnd"/>
      <w:r w:rsidRPr="00CE4AD0">
        <w:rPr>
          <w:i/>
          <w:iCs/>
          <w:sz w:val="24"/>
          <w:szCs w:val="24"/>
          <w:lang w:val="ro-RO"/>
        </w:rPr>
        <w:t xml:space="preserve"> real</w:t>
      </w:r>
      <w:r w:rsidRPr="00CE4AD0">
        <w:rPr>
          <w:sz w:val="24"/>
          <w:szCs w:val="24"/>
          <w:lang w:val="ro-RO"/>
        </w:rPr>
        <w:t xml:space="preserve"> (masa reală sau volumul real) al unui preambalat este cantitatea de produs pe care acesta îl </w:t>
      </w:r>
      <w:proofErr w:type="spellStart"/>
      <w:r w:rsidRPr="00CE4AD0">
        <w:rPr>
          <w:sz w:val="24"/>
          <w:szCs w:val="24"/>
          <w:lang w:val="ro-RO"/>
        </w:rPr>
        <w:t>conţine</w:t>
      </w:r>
      <w:proofErr w:type="spellEnd"/>
      <w:r w:rsidRPr="00CE4AD0">
        <w:rPr>
          <w:sz w:val="24"/>
          <w:szCs w:val="24"/>
          <w:lang w:val="ro-RO"/>
        </w:rPr>
        <w:t xml:space="preserve"> în realitate. În toate </w:t>
      </w:r>
      <w:proofErr w:type="spellStart"/>
      <w:r w:rsidRPr="00CE4AD0">
        <w:rPr>
          <w:sz w:val="24"/>
          <w:szCs w:val="24"/>
          <w:lang w:val="ro-RO"/>
        </w:rPr>
        <w:t>operaţiunile</w:t>
      </w:r>
      <w:proofErr w:type="spellEnd"/>
      <w:r w:rsidRPr="00CE4AD0">
        <w:rPr>
          <w:sz w:val="24"/>
          <w:szCs w:val="24"/>
          <w:lang w:val="ro-RO"/>
        </w:rPr>
        <w:t xml:space="preserve"> de verificare a </w:t>
      </w:r>
      <w:proofErr w:type="spellStart"/>
      <w:r w:rsidRPr="00CE4AD0">
        <w:rPr>
          <w:sz w:val="24"/>
          <w:szCs w:val="24"/>
          <w:lang w:val="ro-RO"/>
        </w:rPr>
        <w:t>cantităţilor</w:t>
      </w:r>
      <w:proofErr w:type="spellEnd"/>
      <w:r w:rsidRPr="00CE4AD0">
        <w:rPr>
          <w:sz w:val="24"/>
          <w:szCs w:val="24"/>
          <w:lang w:val="ro-RO"/>
        </w:rPr>
        <w:t xml:space="preserve"> de produse exprimate în </w:t>
      </w:r>
      <w:proofErr w:type="spellStart"/>
      <w:r w:rsidRPr="00CE4AD0">
        <w:rPr>
          <w:sz w:val="24"/>
          <w:szCs w:val="24"/>
          <w:lang w:val="ro-RO"/>
        </w:rPr>
        <w:t>unităţi</w:t>
      </w:r>
      <w:proofErr w:type="spellEnd"/>
      <w:r w:rsidRPr="00CE4AD0">
        <w:rPr>
          <w:sz w:val="24"/>
          <w:szCs w:val="24"/>
          <w:lang w:val="ro-RO"/>
        </w:rPr>
        <w:t xml:space="preserve"> de volum, valoarea utilizată pentru </w:t>
      </w:r>
      <w:proofErr w:type="spellStart"/>
      <w:r w:rsidRPr="00CE4AD0">
        <w:rPr>
          <w:sz w:val="24"/>
          <w:szCs w:val="24"/>
          <w:lang w:val="ro-RO"/>
        </w:rPr>
        <w:t>conţinutul</w:t>
      </w:r>
      <w:proofErr w:type="spellEnd"/>
      <w:r w:rsidRPr="00CE4AD0">
        <w:rPr>
          <w:sz w:val="24"/>
          <w:szCs w:val="24"/>
          <w:lang w:val="ro-RO"/>
        </w:rPr>
        <w:t xml:space="preserve"> real trebuie măsurată sau corectată la temperatura de 20 ºC, indiferent de temperatura la care este efectuată ambalarea sau verificarea. Această regulă nu se aplică produselor congelate sau refrigerate a căror cantitate este exprimată în </w:t>
      </w:r>
      <w:proofErr w:type="spellStart"/>
      <w:r w:rsidRPr="00CE4AD0">
        <w:rPr>
          <w:sz w:val="24"/>
          <w:szCs w:val="24"/>
          <w:lang w:val="ro-RO"/>
        </w:rPr>
        <w:t>unităţi</w:t>
      </w:r>
      <w:proofErr w:type="spellEnd"/>
      <w:r w:rsidRPr="00CE4AD0">
        <w:rPr>
          <w:sz w:val="24"/>
          <w:szCs w:val="24"/>
          <w:lang w:val="ro-RO"/>
        </w:rPr>
        <w:t xml:space="preserve"> de volum.</w:t>
      </w:r>
    </w:p>
    <w:p w14:paraId="345DA37E" w14:textId="153C3943" w:rsidR="006514A3" w:rsidRPr="00CE4AD0" w:rsidRDefault="006514A3" w:rsidP="001C2D9C">
      <w:pPr>
        <w:ind w:firstLine="593"/>
        <w:jc w:val="both"/>
        <w:rPr>
          <w:sz w:val="24"/>
          <w:szCs w:val="24"/>
          <w:lang w:val="ro-RO"/>
        </w:rPr>
      </w:pPr>
      <w:r w:rsidRPr="00CE4AD0">
        <w:rPr>
          <w:sz w:val="24"/>
          <w:szCs w:val="24"/>
          <w:lang w:val="ro-RO"/>
        </w:rPr>
        <w:t xml:space="preserve">4. </w:t>
      </w:r>
      <w:r w:rsidRPr="00CE4AD0">
        <w:rPr>
          <w:i/>
          <w:sz w:val="24"/>
          <w:szCs w:val="24"/>
          <w:lang w:val="ro-RO"/>
        </w:rPr>
        <w:t>Eroarea negativă</w:t>
      </w:r>
      <w:r w:rsidRPr="00CE4AD0">
        <w:rPr>
          <w:sz w:val="24"/>
          <w:szCs w:val="24"/>
          <w:lang w:val="ro-RO"/>
        </w:rPr>
        <w:t xml:space="preserve"> a unui preambalat este </w:t>
      </w:r>
      <w:proofErr w:type="spellStart"/>
      <w:r w:rsidRPr="00CE4AD0">
        <w:rPr>
          <w:sz w:val="24"/>
          <w:szCs w:val="24"/>
          <w:lang w:val="ro-RO"/>
        </w:rPr>
        <w:t>diferenţa</w:t>
      </w:r>
      <w:proofErr w:type="spellEnd"/>
      <w:r w:rsidRPr="00CE4AD0">
        <w:rPr>
          <w:sz w:val="24"/>
          <w:szCs w:val="24"/>
          <w:lang w:val="ro-RO"/>
        </w:rPr>
        <w:t xml:space="preserve"> dintre cantitatea nominală </w:t>
      </w:r>
      <w:proofErr w:type="spellStart"/>
      <w:r w:rsidRPr="00CE4AD0">
        <w:rPr>
          <w:sz w:val="24"/>
          <w:szCs w:val="24"/>
          <w:lang w:val="ro-RO"/>
        </w:rPr>
        <w:t>şi</w:t>
      </w:r>
      <w:proofErr w:type="spellEnd"/>
      <w:r w:rsidRPr="00CE4AD0">
        <w:rPr>
          <w:sz w:val="24"/>
          <w:szCs w:val="24"/>
          <w:lang w:val="ro-RO"/>
        </w:rPr>
        <w:t xml:space="preserve"> </w:t>
      </w:r>
      <w:proofErr w:type="spellStart"/>
      <w:r w:rsidRPr="00CE4AD0">
        <w:rPr>
          <w:sz w:val="24"/>
          <w:szCs w:val="24"/>
          <w:lang w:val="ro-RO"/>
        </w:rPr>
        <w:t>conţinutul</w:t>
      </w:r>
      <w:proofErr w:type="spellEnd"/>
      <w:r w:rsidRPr="00CE4AD0">
        <w:rPr>
          <w:sz w:val="24"/>
          <w:szCs w:val="24"/>
          <w:lang w:val="ro-RO"/>
        </w:rPr>
        <w:t xml:space="preserve"> real al produsului preambalat.</w:t>
      </w:r>
    </w:p>
    <w:p w14:paraId="345DA380" w14:textId="198F0361" w:rsidR="006514A3" w:rsidRDefault="006514A3" w:rsidP="001C2D9C">
      <w:pPr>
        <w:ind w:firstLine="593"/>
        <w:jc w:val="both"/>
        <w:rPr>
          <w:sz w:val="24"/>
          <w:szCs w:val="24"/>
          <w:lang w:val="ro-RO"/>
        </w:rPr>
      </w:pPr>
      <w:r w:rsidRPr="00CE4AD0">
        <w:rPr>
          <w:sz w:val="24"/>
          <w:szCs w:val="24"/>
          <w:lang w:val="ro-RO"/>
        </w:rPr>
        <w:t xml:space="preserve">5. Erorile maxime negative tolerate, în </w:t>
      </w:r>
      <w:proofErr w:type="spellStart"/>
      <w:r w:rsidRPr="00CE4AD0">
        <w:rPr>
          <w:sz w:val="24"/>
          <w:szCs w:val="24"/>
          <w:lang w:val="ro-RO"/>
        </w:rPr>
        <w:t>funcţie</w:t>
      </w:r>
      <w:proofErr w:type="spellEnd"/>
      <w:r w:rsidRPr="00CE4AD0">
        <w:rPr>
          <w:sz w:val="24"/>
          <w:szCs w:val="24"/>
          <w:lang w:val="ro-RO"/>
        </w:rPr>
        <w:t xml:space="preserve"> de cantitatea nominală (în grame sau mililitri) a unui preambalat, se stabilesc în conformitate cu tabelul 1 din prezenta anexă.</w:t>
      </w:r>
    </w:p>
    <w:p w14:paraId="5B5CB250" w14:textId="77777777" w:rsidR="001C2D9C" w:rsidRPr="00CE4AD0" w:rsidRDefault="001C2D9C" w:rsidP="001C2D9C">
      <w:pPr>
        <w:ind w:firstLine="593"/>
        <w:jc w:val="both"/>
        <w:rPr>
          <w:sz w:val="24"/>
          <w:szCs w:val="24"/>
          <w:lang w:val="ro-RO"/>
        </w:rPr>
      </w:pPr>
    </w:p>
    <w:p w14:paraId="345DA381" w14:textId="77777777" w:rsidR="006514A3" w:rsidRPr="00CE4AD0" w:rsidRDefault="006514A3" w:rsidP="001C2D9C">
      <w:pPr>
        <w:ind w:firstLine="593"/>
        <w:jc w:val="right"/>
        <w:rPr>
          <w:sz w:val="24"/>
          <w:szCs w:val="24"/>
          <w:lang w:val="ro-RO"/>
        </w:rPr>
      </w:pPr>
      <w:r w:rsidRPr="00CE4AD0">
        <w:rPr>
          <w:sz w:val="24"/>
          <w:szCs w:val="24"/>
          <w:lang w:val="ro-RO"/>
        </w:rPr>
        <w:t xml:space="preserve">Tabelul 1 </w:t>
      </w:r>
    </w:p>
    <w:tbl>
      <w:tblPr>
        <w:tblW w:w="8927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2652"/>
        <w:gridCol w:w="2447"/>
      </w:tblGrid>
      <w:tr w:rsidR="006514A3" w:rsidRPr="00CE4AD0" w14:paraId="345DA385" w14:textId="77777777" w:rsidTr="00B0087D">
        <w:tc>
          <w:tcPr>
            <w:tcW w:w="3828" w:type="dxa"/>
            <w:vMerge w:val="restart"/>
            <w:vAlign w:val="center"/>
          </w:tcPr>
          <w:p w14:paraId="345DA382" w14:textId="77777777" w:rsidR="006514A3" w:rsidRPr="00350876" w:rsidRDefault="006514A3" w:rsidP="00985B84">
            <w:pPr>
              <w:ind w:firstLine="709"/>
              <w:jc w:val="both"/>
              <w:rPr>
                <w:b/>
                <w:vertAlign w:val="subscript"/>
                <w:lang w:val="ro-RO"/>
              </w:rPr>
            </w:pPr>
            <w:r w:rsidRPr="00350876">
              <w:rPr>
                <w:b/>
                <w:lang w:val="ro-RO"/>
              </w:rPr>
              <w:t xml:space="preserve">Cantitatea nominală </w:t>
            </w:r>
            <w:proofErr w:type="spellStart"/>
            <w:r w:rsidRPr="00350876">
              <w:rPr>
                <w:b/>
                <w:lang w:val="ro-RO"/>
              </w:rPr>
              <w:t>Q</w:t>
            </w:r>
            <w:r w:rsidRPr="00350876">
              <w:rPr>
                <w:b/>
                <w:vertAlign w:val="subscript"/>
                <w:lang w:val="ro-RO"/>
              </w:rPr>
              <w:t>n</w:t>
            </w:r>
            <w:proofErr w:type="spellEnd"/>
          </w:p>
          <w:p w14:paraId="345DA383" w14:textId="77777777" w:rsidR="006514A3" w:rsidRPr="00350876" w:rsidRDefault="006514A3" w:rsidP="00985B84">
            <w:pPr>
              <w:ind w:firstLine="709"/>
              <w:jc w:val="both"/>
              <w:rPr>
                <w:b/>
                <w:bCs/>
                <w:lang w:val="ro-RO"/>
              </w:rPr>
            </w:pPr>
            <w:r w:rsidRPr="00350876">
              <w:rPr>
                <w:b/>
                <w:lang w:val="ro-RO"/>
              </w:rPr>
              <w:t>(g sau ml)</w:t>
            </w:r>
          </w:p>
        </w:tc>
        <w:tc>
          <w:tcPr>
            <w:tcW w:w="5099" w:type="dxa"/>
            <w:gridSpan w:val="2"/>
            <w:vAlign w:val="center"/>
          </w:tcPr>
          <w:p w14:paraId="345DA384" w14:textId="77777777" w:rsidR="006514A3" w:rsidRPr="00350876" w:rsidRDefault="006514A3" w:rsidP="00985B84">
            <w:pPr>
              <w:ind w:firstLine="709"/>
              <w:jc w:val="both"/>
              <w:rPr>
                <w:b/>
                <w:bCs/>
                <w:lang w:val="ro-RO"/>
              </w:rPr>
            </w:pPr>
            <w:r w:rsidRPr="00350876">
              <w:rPr>
                <w:b/>
                <w:lang w:val="ro-RO"/>
              </w:rPr>
              <w:t>Eroarea maximă negativă tolerată</w:t>
            </w:r>
          </w:p>
        </w:tc>
      </w:tr>
      <w:tr w:rsidR="006514A3" w:rsidRPr="00CE4AD0" w14:paraId="345DA389" w14:textId="77777777" w:rsidTr="00B0087D">
        <w:tc>
          <w:tcPr>
            <w:tcW w:w="0" w:type="auto"/>
            <w:vMerge/>
            <w:vAlign w:val="center"/>
          </w:tcPr>
          <w:p w14:paraId="345DA386" w14:textId="77777777" w:rsidR="006514A3" w:rsidRPr="00350876" w:rsidRDefault="006514A3" w:rsidP="00985B84">
            <w:pPr>
              <w:ind w:firstLine="709"/>
              <w:jc w:val="both"/>
              <w:rPr>
                <w:b/>
                <w:bCs/>
                <w:lang w:val="ro-RO"/>
              </w:rPr>
            </w:pPr>
          </w:p>
        </w:tc>
        <w:tc>
          <w:tcPr>
            <w:tcW w:w="2652" w:type="dxa"/>
            <w:vAlign w:val="center"/>
          </w:tcPr>
          <w:p w14:paraId="345DA387" w14:textId="77777777" w:rsidR="006514A3" w:rsidRPr="00350876" w:rsidRDefault="006514A3" w:rsidP="00350876">
            <w:pPr>
              <w:ind w:firstLine="709"/>
              <w:jc w:val="center"/>
              <w:rPr>
                <w:b/>
                <w:bCs/>
                <w:lang w:val="ro-RO"/>
              </w:rPr>
            </w:pPr>
            <w:r w:rsidRPr="00350876">
              <w:rPr>
                <w:b/>
                <w:lang w:val="ro-RO"/>
              </w:rPr>
              <w:t xml:space="preserve">% din </w:t>
            </w:r>
            <w:proofErr w:type="spellStart"/>
            <w:r w:rsidRPr="00350876">
              <w:rPr>
                <w:b/>
                <w:lang w:val="ro-RO"/>
              </w:rPr>
              <w:t>Q</w:t>
            </w:r>
            <w:r w:rsidRPr="00350876">
              <w:rPr>
                <w:b/>
                <w:vertAlign w:val="subscript"/>
                <w:lang w:val="ro-RO"/>
              </w:rPr>
              <w:t>n</w:t>
            </w:r>
            <w:proofErr w:type="spellEnd"/>
          </w:p>
        </w:tc>
        <w:tc>
          <w:tcPr>
            <w:tcW w:w="2447" w:type="dxa"/>
            <w:vAlign w:val="center"/>
          </w:tcPr>
          <w:p w14:paraId="345DA388" w14:textId="77777777" w:rsidR="006514A3" w:rsidRPr="00350876" w:rsidRDefault="006514A3" w:rsidP="00350876">
            <w:pPr>
              <w:ind w:firstLine="709"/>
              <w:jc w:val="center"/>
              <w:rPr>
                <w:b/>
                <w:bCs/>
                <w:lang w:val="ro-RO"/>
              </w:rPr>
            </w:pPr>
            <w:r w:rsidRPr="00350876">
              <w:rPr>
                <w:b/>
                <w:lang w:val="ro-RO"/>
              </w:rPr>
              <w:t>g sau ml</w:t>
            </w:r>
          </w:p>
        </w:tc>
      </w:tr>
      <w:tr w:rsidR="006514A3" w:rsidRPr="00CE4AD0" w14:paraId="345DA38D" w14:textId="77777777" w:rsidTr="00B0087D">
        <w:tc>
          <w:tcPr>
            <w:tcW w:w="3828" w:type="dxa"/>
          </w:tcPr>
          <w:p w14:paraId="345DA38A" w14:textId="77777777" w:rsidR="006514A3" w:rsidRPr="00350876" w:rsidRDefault="006514A3" w:rsidP="00985B84">
            <w:pPr>
              <w:ind w:firstLine="709"/>
              <w:jc w:val="both"/>
              <w:rPr>
                <w:b/>
                <w:bCs/>
                <w:lang w:val="ro-RO"/>
              </w:rPr>
            </w:pPr>
            <w:r w:rsidRPr="00350876">
              <w:rPr>
                <w:lang w:val="ro-RO"/>
              </w:rPr>
              <w:t xml:space="preserve">5 </w:t>
            </w:r>
            <w:r w:rsidRPr="00350876">
              <w:rPr>
                <w:lang w:val="ro-RO"/>
              </w:rPr>
              <w:sym w:font="Symbol" w:char="F0A3"/>
            </w:r>
            <w:r w:rsidRPr="00350876">
              <w:rPr>
                <w:lang w:val="ro-RO"/>
              </w:rPr>
              <w:t xml:space="preserve"> </w:t>
            </w:r>
            <w:proofErr w:type="spellStart"/>
            <w:r w:rsidRPr="00350876">
              <w:rPr>
                <w:lang w:val="ro-RO"/>
              </w:rPr>
              <w:t>Q</w:t>
            </w:r>
            <w:r w:rsidRPr="00350876">
              <w:rPr>
                <w:vertAlign w:val="subscript"/>
                <w:lang w:val="ro-RO"/>
              </w:rPr>
              <w:t>n</w:t>
            </w:r>
            <w:proofErr w:type="spellEnd"/>
            <w:r w:rsidRPr="00350876">
              <w:rPr>
                <w:lang w:val="ro-RO"/>
              </w:rPr>
              <w:t xml:space="preserve"> </w:t>
            </w:r>
            <w:r w:rsidRPr="00350876">
              <w:rPr>
                <w:lang w:val="ro-RO"/>
              </w:rPr>
              <w:sym w:font="Symbol" w:char="F0A3"/>
            </w:r>
            <w:r w:rsidRPr="00350876">
              <w:rPr>
                <w:lang w:val="ro-RO"/>
              </w:rPr>
              <w:t xml:space="preserve"> 50</w:t>
            </w:r>
          </w:p>
        </w:tc>
        <w:tc>
          <w:tcPr>
            <w:tcW w:w="2652" w:type="dxa"/>
          </w:tcPr>
          <w:p w14:paraId="345DA38B" w14:textId="77777777" w:rsidR="006514A3" w:rsidRPr="00350876" w:rsidRDefault="006514A3" w:rsidP="00350876">
            <w:pPr>
              <w:ind w:firstLine="709"/>
              <w:jc w:val="center"/>
              <w:rPr>
                <w:lang w:val="ro-RO"/>
              </w:rPr>
            </w:pPr>
            <w:r w:rsidRPr="00350876">
              <w:rPr>
                <w:lang w:val="ro-RO"/>
              </w:rPr>
              <w:t>9</w:t>
            </w:r>
          </w:p>
        </w:tc>
        <w:tc>
          <w:tcPr>
            <w:tcW w:w="2447" w:type="dxa"/>
          </w:tcPr>
          <w:p w14:paraId="345DA38C" w14:textId="77777777" w:rsidR="006514A3" w:rsidRPr="00350876" w:rsidRDefault="006514A3" w:rsidP="00350876">
            <w:pPr>
              <w:ind w:firstLine="709"/>
              <w:jc w:val="center"/>
              <w:rPr>
                <w:lang w:val="ro-RO"/>
              </w:rPr>
            </w:pPr>
            <w:r w:rsidRPr="00350876">
              <w:rPr>
                <w:lang w:val="ro-RO"/>
              </w:rPr>
              <w:t>-</w:t>
            </w:r>
          </w:p>
        </w:tc>
      </w:tr>
      <w:tr w:rsidR="006514A3" w:rsidRPr="00CE4AD0" w14:paraId="345DA391" w14:textId="77777777" w:rsidTr="00B0087D">
        <w:tc>
          <w:tcPr>
            <w:tcW w:w="3828" w:type="dxa"/>
          </w:tcPr>
          <w:p w14:paraId="345DA38E" w14:textId="77777777" w:rsidR="006514A3" w:rsidRPr="00350876" w:rsidRDefault="006514A3" w:rsidP="00985B84">
            <w:pPr>
              <w:ind w:firstLine="709"/>
              <w:jc w:val="both"/>
              <w:rPr>
                <w:b/>
                <w:bCs/>
                <w:lang w:val="ro-RO"/>
              </w:rPr>
            </w:pPr>
            <w:r w:rsidRPr="00350876">
              <w:rPr>
                <w:lang w:val="ro-RO"/>
              </w:rPr>
              <w:t xml:space="preserve">50 </w:t>
            </w:r>
            <w:r w:rsidRPr="00350876">
              <w:rPr>
                <w:lang w:val="ro-RO"/>
              </w:rPr>
              <w:sym w:font="Symbol" w:char="F0A3"/>
            </w:r>
            <w:r w:rsidRPr="00350876">
              <w:rPr>
                <w:lang w:val="ro-RO"/>
              </w:rPr>
              <w:t xml:space="preserve"> </w:t>
            </w:r>
            <w:proofErr w:type="spellStart"/>
            <w:r w:rsidRPr="00350876">
              <w:rPr>
                <w:lang w:val="ro-RO"/>
              </w:rPr>
              <w:t>Q</w:t>
            </w:r>
            <w:r w:rsidRPr="00350876">
              <w:rPr>
                <w:vertAlign w:val="subscript"/>
                <w:lang w:val="ro-RO"/>
              </w:rPr>
              <w:t>n</w:t>
            </w:r>
            <w:proofErr w:type="spellEnd"/>
            <w:r w:rsidRPr="00350876">
              <w:rPr>
                <w:lang w:val="ro-RO"/>
              </w:rPr>
              <w:t xml:space="preserve"> </w:t>
            </w:r>
            <w:r w:rsidRPr="00350876">
              <w:rPr>
                <w:lang w:val="ro-RO"/>
              </w:rPr>
              <w:sym w:font="Symbol" w:char="F0A3"/>
            </w:r>
            <w:r w:rsidRPr="00350876">
              <w:rPr>
                <w:lang w:val="ro-RO"/>
              </w:rPr>
              <w:t xml:space="preserve"> 100</w:t>
            </w:r>
          </w:p>
        </w:tc>
        <w:tc>
          <w:tcPr>
            <w:tcW w:w="2652" w:type="dxa"/>
          </w:tcPr>
          <w:p w14:paraId="345DA38F" w14:textId="77777777" w:rsidR="006514A3" w:rsidRPr="00350876" w:rsidRDefault="006514A3" w:rsidP="00350876">
            <w:pPr>
              <w:ind w:firstLine="709"/>
              <w:jc w:val="center"/>
              <w:rPr>
                <w:lang w:val="ro-RO"/>
              </w:rPr>
            </w:pPr>
            <w:r w:rsidRPr="00350876">
              <w:rPr>
                <w:lang w:val="ro-RO"/>
              </w:rPr>
              <w:t>-</w:t>
            </w:r>
          </w:p>
        </w:tc>
        <w:tc>
          <w:tcPr>
            <w:tcW w:w="2447" w:type="dxa"/>
          </w:tcPr>
          <w:p w14:paraId="345DA390" w14:textId="77777777" w:rsidR="006514A3" w:rsidRPr="00350876" w:rsidRDefault="006514A3" w:rsidP="00350876">
            <w:pPr>
              <w:ind w:firstLine="709"/>
              <w:jc w:val="center"/>
              <w:rPr>
                <w:lang w:val="ro-RO"/>
              </w:rPr>
            </w:pPr>
            <w:r w:rsidRPr="00350876">
              <w:rPr>
                <w:lang w:val="ro-RO"/>
              </w:rPr>
              <w:t>4,5</w:t>
            </w:r>
          </w:p>
        </w:tc>
      </w:tr>
      <w:tr w:rsidR="006514A3" w:rsidRPr="00CE4AD0" w14:paraId="345DA395" w14:textId="77777777" w:rsidTr="00B0087D">
        <w:tc>
          <w:tcPr>
            <w:tcW w:w="3828" w:type="dxa"/>
          </w:tcPr>
          <w:p w14:paraId="345DA392" w14:textId="77777777" w:rsidR="006514A3" w:rsidRPr="00350876" w:rsidRDefault="006514A3" w:rsidP="00985B84">
            <w:pPr>
              <w:ind w:firstLine="709"/>
              <w:jc w:val="both"/>
              <w:rPr>
                <w:b/>
                <w:bCs/>
                <w:lang w:val="ro-RO"/>
              </w:rPr>
            </w:pPr>
            <w:r w:rsidRPr="00350876">
              <w:rPr>
                <w:lang w:val="ro-RO"/>
              </w:rPr>
              <w:t xml:space="preserve">100 </w:t>
            </w:r>
            <w:r w:rsidRPr="00350876">
              <w:rPr>
                <w:lang w:val="ro-RO"/>
              </w:rPr>
              <w:sym w:font="Symbol" w:char="F0A3"/>
            </w:r>
            <w:r w:rsidRPr="00350876">
              <w:rPr>
                <w:lang w:val="ro-RO"/>
              </w:rPr>
              <w:t xml:space="preserve"> </w:t>
            </w:r>
            <w:proofErr w:type="spellStart"/>
            <w:r w:rsidRPr="00350876">
              <w:rPr>
                <w:lang w:val="ro-RO"/>
              </w:rPr>
              <w:t>Q</w:t>
            </w:r>
            <w:r w:rsidRPr="00350876">
              <w:rPr>
                <w:vertAlign w:val="subscript"/>
                <w:lang w:val="ro-RO"/>
              </w:rPr>
              <w:t>n</w:t>
            </w:r>
            <w:proofErr w:type="spellEnd"/>
            <w:r w:rsidRPr="00350876">
              <w:rPr>
                <w:lang w:val="ro-RO"/>
              </w:rPr>
              <w:t xml:space="preserve"> </w:t>
            </w:r>
            <w:r w:rsidRPr="00350876">
              <w:rPr>
                <w:lang w:val="ro-RO"/>
              </w:rPr>
              <w:sym w:font="Symbol" w:char="F0A3"/>
            </w:r>
            <w:r w:rsidRPr="00350876">
              <w:rPr>
                <w:lang w:val="ro-RO"/>
              </w:rPr>
              <w:t xml:space="preserve"> 200</w:t>
            </w:r>
          </w:p>
        </w:tc>
        <w:tc>
          <w:tcPr>
            <w:tcW w:w="2652" w:type="dxa"/>
          </w:tcPr>
          <w:p w14:paraId="345DA393" w14:textId="77777777" w:rsidR="006514A3" w:rsidRPr="00350876" w:rsidRDefault="006514A3" w:rsidP="00350876">
            <w:pPr>
              <w:ind w:firstLine="709"/>
              <w:jc w:val="center"/>
              <w:rPr>
                <w:lang w:val="ro-RO"/>
              </w:rPr>
            </w:pPr>
            <w:r w:rsidRPr="00350876">
              <w:rPr>
                <w:lang w:val="ro-RO"/>
              </w:rPr>
              <w:t>4,5</w:t>
            </w:r>
          </w:p>
        </w:tc>
        <w:tc>
          <w:tcPr>
            <w:tcW w:w="2447" w:type="dxa"/>
          </w:tcPr>
          <w:p w14:paraId="345DA394" w14:textId="77777777" w:rsidR="006514A3" w:rsidRPr="00350876" w:rsidRDefault="006514A3" w:rsidP="00350876">
            <w:pPr>
              <w:ind w:firstLine="709"/>
              <w:jc w:val="center"/>
              <w:rPr>
                <w:lang w:val="ro-RO"/>
              </w:rPr>
            </w:pPr>
            <w:r w:rsidRPr="00350876">
              <w:rPr>
                <w:lang w:val="ro-RO"/>
              </w:rPr>
              <w:t>-</w:t>
            </w:r>
          </w:p>
        </w:tc>
      </w:tr>
      <w:tr w:rsidR="006514A3" w:rsidRPr="00CE4AD0" w14:paraId="345DA399" w14:textId="77777777" w:rsidTr="00B0087D">
        <w:tc>
          <w:tcPr>
            <w:tcW w:w="3828" w:type="dxa"/>
          </w:tcPr>
          <w:p w14:paraId="345DA396" w14:textId="77777777" w:rsidR="006514A3" w:rsidRPr="00350876" w:rsidRDefault="006514A3" w:rsidP="00985B84">
            <w:pPr>
              <w:ind w:firstLine="709"/>
              <w:jc w:val="both"/>
              <w:rPr>
                <w:b/>
                <w:bCs/>
                <w:lang w:val="ro-RO"/>
              </w:rPr>
            </w:pPr>
            <w:r w:rsidRPr="00350876">
              <w:rPr>
                <w:lang w:val="ro-RO"/>
              </w:rPr>
              <w:t xml:space="preserve">200 </w:t>
            </w:r>
            <w:r w:rsidRPr="00350876">
              <w:rPr>
                <w:lang w:val="ro-RO"/>
              </w:rPr>
              <w:sym w:font="Symbol" w:char="F0A3"/>
            </w:r>
            <w:r w:rsidRPr="00350876">
              <w:rPr>
                <w:lang w:val="ro-RO"/>
              </w:rPr>
              <w:t xml:space="preserve"> </w:t>
            </w:r>
            <w:proofErr w:type="spellStart"/>
            <w:r w:rsidRPr="00350876">
              <w:rPr>
                <w:lang w:val="ro-RO"/>
              </w:rPr>
              <w:t>Q</w:t>
            </w:r>
            <w:r w:rsidRPr="00350876">
              <w:rPr>
                <w:vertAlign w:val="subscript"/>
                <w:lang w:val="ro-RO"/>
              </w:rPr>
              <w:t>n</w:t>
            </w:r>
            <w:proofErr w:type="spellEnd"/>
            <w:r w:rsidRPr="00350876">
              <w:rPr>
                <w:lang w:val="ro-RO"/>
              </w:rPr>
              <w:t xml:space="preserve"> </w:t>
            </w:r>
            <w:r w:rsidRPr="00350876">
              <w:rPr>
                <w:lang w:val="ro-RO"/>
              </w:rPr>
              <w:sym w:font="Symbol" w:char="F0A3"/>
            </w:r>
            <w:r w:rsidRPr="00350876">
              <w:rPr>
                <w:lang w:val="ro-RO"/>
              </w:rPr>
              <w:t xml:space="preserve"> 300</w:t>
            </w:r>
          </w:p>
        </w:tc>
        <w:tc>
          <w:tcPr>
            <w:tcW w:w="2652" w:type="dxa"/>
          </w:tcPr>
          <w:p w14:paraId="345DA397" w14:textId="77777777" w:rsidR="006514A3" w:rsidRPr="00350876" w:rsidRDefault="006514A3" w:rsidP="00350876">
            <w:pPr>
              <w:ind w:firstLine="709"/>
              <w:jc w:val="center"/>
              <w:rPr>
                <w:lang w:val="ro-RO"/>
              </w:rPr>
            </w:pPr>
            <w:r w:rsidRPr="00350876">
              <w:rPr>
                <w:lang w:val="ro-RO"/>
              </w:rPr>
              <w:t>-</w:t>
            </w:r>
          </w:p>
        </w:tc>
        <w:tc>
          <w:tcPr>
            <w:tcW w:w="2447" w:type="dxa"/>
          </w:tcPr>
          <w:p w14:paraId="345DA398" w14:textId="77777777" w:rsidR="006514A3" w:rsidRPr="00350876" w:rsidRDefault="006514A3" w:rsidP="00350876">
            <w:pPr>
              <w:ind w:firstLine="709"/>
              <w:jc w:val="center"/>
              <w:rPr>
                <w:lang w:val="ro-RO"/>
              </w:rPr>
            </w:pPr>
            <w:r w:rsidRPr="00350876">
              <w:rPr>
                <w:lang w:val="ro-RO"/>
              </w:rPr>
              <w:t>9</w:t>
            </w:r>
          </w:p>
        </w:tc>
      </w:tr>
      <w:tr w:rsidR="006514A3" w:rsidRPr="00CE4AD0" w14:paraId="345DA39D" w14:textId="77777777" w:rsidTr="00B0087D">
        <w:tc>
          <w:tcPr>
            <w:tcW w:w="3828" w:type="dxa"/>
          </w:tcPr>
          <w:p w14:paraId="345DA39A" w14:textId="77777777" w:rsidR="006514A3" w:rsidRPr="00350876" w:rsidRDefault="006514A3" w:rsidP="00985B84">
            <w:pPr>
              <w:ind w:firstLine="709"/>
              <w:jc w:val="both"/>
              <w:rPr>
                <w:b/>
                <w:bCs/>
                <w:lang w:val="ro-RO"/>
              </w:rPr>
            </w:pPr>
            <w:r w:rsidRPr="00350876">
              <w:rPr>
                <w:lang w:val="ro-RO"/>
              </w:rPr>
              <w:t xml:space="preserve">300 </w:t>
            </w:r>
            <w:r w:rsidRPr="00350876">
              <w:rPr>
                <w:lang w:val="ro-RO"/>
              </w:rPr>
              <w:sym w:font="Symbol" w:char="F0A3"/>
            </w:r>
            <w:r w:rsidRPr="00350876">
              <w:rPr>
                <w:lang w:val="ro-RO"/>
              </w:rPr>
              <w:t xml:space="preserve"> </w:t>
            </w:r>
            <w:proofErr w:type="spellStart"/>
            <w:r w:rsidRPr="00350876">
              <w:rPr>
                <w:lang w:val="ro-RO"/>
              </w:rPr>
              <w:t>Q</w:t>
            </w:r>
            <w:r w:rsidRPr="00350876">
              <w:rPr>
                <w:vertAlign w:val="subscript"/>
                <w:lang w:val="ro-RO"/>
              </w:rPr>
              <w:t>n</w:t>
            </w:r>
            <w:proofErr w:type="spellEnd"/>
            <w:r w:rsidRPr="00350876">
              <w:rPr>
                <w:lang w:val="ro-RO"/>
              </w:rPr>
              <w:t xml:space="preserve"> </w:t>
            </w:r>
            <w:r w:rsidRPr="00350876">
              <w:rPr>
                <w:lang w:val="ro-RO"/>
              </w:rPr>
              <w:sym w:font="Symbol" w:char="F0A3"/>
            </w:r>
            <w:r w:rsidRPr="00350876">
              <w:rPr>
                <w:lang w:val="ro-RO"/>
              </w:rPr>
              <w:t xml:space="preserve"> 500</w:t>
            </w:r>
          </w:p>
        </w:tc>
        <w:tc>
          <w:tcPr>
            <w:tcW w:w="2652" w:type="dxa"/>
          </w:tcPr>
          <w:p w14:paraId="345DA39B" w14:textId="77777777" w:rsidR="006514A3" w:rsidRPr="00350876" w:rsidRDefault="006514A3" w:rsidP="00350876">
            <w:pPr>
              <w:ind w:firstLine="709"/>
              <w:jc w:val="center"/>
              <w:rPr>
                <w:lang w:val="ro-RO"/>
              </w:rPr>
            </w:pPr>
            <w:r w:rsidRPr="00350876">
              <w:rPr>
                <w:lang w:val="ro-RO"/>
              </w:rPr>
              <w:t>3</w:t>
            </w:r>
          </w:p>
        </w:tc>
        <w:tc>
          <w:tcPr>
            <w:tcW w:w="2447" w:type="dxa"/>
          </w:tcPr>
          <w:p w14:paraId="345DA39C" w14:textId="77777777" w:rsidR="006514A3" w:rsidRPr="00350876" w:rsidRDefault="006514A3" w:rsidP="00350876">
            <w:pPr>
              <w:ind w:firstLine="709"/>
              <w:jc w:val="center"/>
              <w:rPr>
                <w:lang w:val="ro-RO"/>
              </w:rPr>
            </w:pPr>
            <w:r w:rsidRPr="00350876">
              <w:rPr>
                <w:lang w:val="ro-RO"/>
              </w:rPr>
              <w:t>-</w:t>
            </w:r>
          </w:p>
        </w:tc>
      </w:tr>
      <w:tr w:rsidR="006514A3" w:rsidRPr="00CE4AD0" w14:paraId="345DA3A1" w14:textId="77777777" w:rsidTr="00B0087D">
        <w:tc>
          <w:tcPr>
            <w:tcW w:w="3828" w:type="dxa"/>
          </w:tcPr>
          <w:p w14:paraId="345DA39E" w14:textId="77777777" w:rsidR="006514A3" w:rsidRPr="00350876" w:rsidRDefault="006514A3" w:rsidP="00985B84">
            <w:pPr>
              <w:ind w:firstLine="709"/>
              <w:jc w:val="both"/>
              <w:rPr>
                <w:b/>
                <w:bCs/>
                <w:lang w:val="ro-RO"/>
              </w:rPr>
            </w:pPr>
            <w:r w:rsidRPr="00350876">
              <w:rPr>
                <w:lang w:val="ro-RO"/>
              </w:rPr>
              <w:t xml:space="preserve">500 </w:t>
            </w:r>
            <w:r w:rsidRPr="00350876">
              <w:rPr>
                <w:lang w:val="ro-RO"/>
              </w:rPr>
              <w:sym w:font="Symbol" w:char="F0A3"/>
            </w:r>
            <w:r w:rsidRPr="00350876">
              <w:rPr>
                <w:lang w:val="ro-RO"/>
              </w:rPr>
              <w:t xml:space="preserve"> </w:t>
            </w:r>
            <w:proofErr w:type="spellStart"/>
            <w:r w:rsidRPr="00350876">
              <w:rPr>
                <w:lang w:val="ro-RO"/>
              </w:rPr>
              <w:t>Q</w:t>
            </w:r>
            <w:r w:rsidRPr="00350876">
              <w:rPr>
                <w:vertAlign w:val="subscript"/>
                <w:lang w:val="ro-RO"/>
              </w:rPr>
              <w:t>n</w:t>
            </w:r>
            <w:proofErr w:type="spellEnd"/>
            <w:r w:rsidRPr="00350876">
              <w:rPr>
                <w:lang w:val="ro-RO"/>
              </w:rPr>
              <w:t xml:space="preserve"> </w:t>
            </w:r>
            <w:r w:rsidRPr="00350876">
              <w:rPr>
                <w:lang w:val="ro-RO"/>
              </w:rPr>
              <w:sym w:font="Symbol" w:char="F0A3"/>
            </w:r>
            <w:r w:rsidRPr="00350876">
              <w:rPr>
                <w:lang w:val="ro-RO"/>
              </w:rPr>
              <w:t xml:space="preserve"> 1 000</w:t>
            </w:r>
          </w:p>
        </w:tc>
        <w:tc>
          <w:tcPr>
            <w:tcW w:w="2652" w:type="dxa"/>
          </w:tcPr>
          <w:p w14:paraId="345DA39F" w14:textId="77777777" w:rsidR="006514A3" w:rsidRPr="00350876" w:rsidRDefault="006514A3" w:rsidP="00350876">
            <w:pPr>
              <w:ind w:firstLine="709"/>
              <w:jc w:val="center"/>
              <w:rPr>
                <w:lang w:val="ro-RO"/>
              </w:rPr>
            </w:pPr>
            <w:r w:rsidRPr="00350876">
              <w:rPr>
                <w:lang w:val="ro-RO"/>
              </w:rPr>
              <w:t>-</w:t>
            </w:r>
          </w:p>
        </w:tc>
        <w:tc>
          <w:tcPr>
            <w:tcW w:w="2447" w:type="dxa"/>
          </w:tcPr>
          <w:p w14:paraId="345DA3A0" w14:textId="77777777" w:rsidR="006514A3" w:rsidRPr="00350876" w:rsidRDefault="006514A3" w:rsidP="00350876">
            <w:pPr>
              <w:ind w:firstLine="709"/>
              <w:jc w:val="center"/>
              <w:rPr>
                <w:lang w:val="ro-RO"/>
              </w:rPr>
            </w:pPr>
            <w:r w:rsidRPr="00350876">
              <w:rPr>
                <w:lang w:val="ro-RO"/>
              </w:rPr>
              <w:t>15</w:t>
            </w:r>
          </w:p>
        </w:tc>
      </w:tr>
      <w:tr w:rsidR="006514A3" w:rsidRPr="00CE4AD0" w14:paraId="345DA3A5" w14:textId="77777777" w:rsidTr="00B0087D">
        <w:tc>
          <w:tcPr>
            <w:tcW w:w="3828" w:type="dxa"/>
          </w:tcPr>
          <w:p w14:paraId="345DA3A2" w14:textId="77777777" w:rsidR="006514A3" w:rsidRPr="00350876" w:rsidRDefault="006514A3" w:rsidP="00985B84">
            <w:pPr>
              <w:ind w:firstLine="709"/>
              <w:jc w:val="both"/>
              <w:rPr>
                <w:b/>
                <w:bCs/>
                <w:lang w:val="ro-RO"/>
              </w:rPr>
            </w:pPr>
            <w:r w:rsidRPr="00350876">
              <w:rPr>
                <w:lang w:val="ro-RO"/>
              </w:rPr>
              <w:t xml:space="preserve">1 000 </w:t>
            </w:r>
            <w:r w:rsidRPr="00350876">
              <w:rPr>
                <w:lang w:val="ro-RO"/>
              </w:rPr>
              <w:sym w:font="Symbol" w:char="F0A3"/>
            </w:r>
            <w:r w:rsidRPr="00350876">
              <w:rPr>
                <w:lang w:val="ro-RO"/>
              </w:rPr>
              <w:t xml:space="preserve"> </w:t>
            </w:r>
            <w:proofErr w:type="spellStart"/>
            <w:r w:rsidRPr="00350876">
              <w:rPr>
                <w:lang w:val="ro-RO"/>
              </w:rPr>
              <w:t>Q</w:t>
            </w:r>
            <w:r w:rsidRPr="00350876">
              <w:rPr>
                <w:vertAlign w:val="subscript"/>
                <w:lang w:val="ro-RO"/>
              </w:rPr>
              <w:t>n</w:t>
            </w:r>
            <w:proofErr w:type="spellEnd"/>
            <w:r w:rsidRPr="00350876">
              <w:rPr>
                <w:lang w:val="ro-RO"/>
              </w:rPr>
              <w:t xml:space="preserve"> </w:t>
            </w:r>
            <w:r w:rsidRPr="00350876">
              <w:rPr>
                <w:lang w:val="ro-RO"/>
              </w:rPr>
              <w:sym w:font="Symbol" w:char="F0A3"/>
            </w:r>
            <w:r w:rsidRPr="00350876">
              <w:rPr>
                <w:lang w:val="ro-RO"/>
              </w:rPr>
              <w:t xml:space="preserve"> 10 000</w:t>
            </w:r>
          </w:p>
        </w:tc>
        <w:tc>
          <w:tcPr>
            <w:tcW w:w="2652" w:type="dxa"/>
          </w:tcPr>
          <w:p w14:paraId="345DA3A3" w14:textId="77777777" w:rsidR="006514A3" w:rsidRPr="00350876" w:rsidRDefault="006514A3" w:rsidP="00350876">
            <w:pPr>
              <w:ind w:firstLine="709"/>
              <w:jc w:val="center"/>
              <w:rPr>
                <w:lang w:val="ro-RO"/>
              </w:rPr>
            </w:pPr>
            <w:r w:rsidRPr="00350876">
              <w:rPr>
                <w:lang w:val="ro-RO"/>
              </w:rPr>
              <w:t>1,5</w:t>
            </w:r>
          </w:p>
        </w:tc>
        <w:tc>
          <w:tcPr>
            <w:tcW w:w="2447" w:type="dxa"/>
          </w:tcPr>
          <w:p w14:paraId="345DA3A4" w14:textId="77777777" w:rsidR="006514A3" w:rsidRPr="00350876" w:rsidRDefault="006514A3" w:rsidP="00350876">
            <w:pPr>
              <w:ind w:firstLine="709"/>
              <w:jc w:val="center"/>
              <w:rPr>
                <w:lang w:val="ro-RO"/>
              </w:rPr>
            </w:pPr>
            <w:r w:rsidRPr="00350876">
              <w:rPr>
                <w:lang w:val="ro-RO"/>
              </w:rPr>
              <w:t>-</w:t>
            </w:r>
          </w:p>
        </w:tc>
      </w:tr>
    </w:tbl>
    <w:p w14:paraId="345DA3A6" w14:textId="77777777" w:rsidR="006514A3" w:rsidRPr="00CE4AD0" w:rsidRDefault="006514A3" w:rsidP="001C2D9C">
      <w:pPr>
        <w:tabs>
          <w:tab w:val="left" w:pos="-142"/>
          <w:tab w:val="left" w:pos="0"/>
        </w:tabs>
        <w:ind w:firstLine="567"/>
        <w:jc w:val="both"/>
        <w:rPr>
          <w:sz w:val="24"/>
          <w:szCs w:val="24"/>
          <w:lang w:val="ro-RO"/>
        </w:rPr>
      </w:pPr>
      <w:r w:rsidRPr="00CE4AD0">
        <w:rPr>
          <w:sz w:val="24"/>
          <w:szCs w:val="24"/>
          <w:lang w:val="ro-RO"/>
        </w:rPr>
        <w:t xml:space="preserve">6. La folosirea tabelului 1, valorile erorilor maxime negative tolerate, exprimate în procente, transformate în </w:t>
      </w:r>
      <w:proofErr w:type="spellStart"/>
      <w:r w:rsidRPr="00CE4AD0">
        <w:rPr>
          <w:sz w:val="24"/>
          <w:szCs w:val="24"/>
          <w:lang w:val="ro-RO"/>
        </w:rPr>
        <w:t>unităţi</w:t>
      </w:r>
      <w:proofErr w:type="spellEnd"/>
      <w:r w:rsidRPr="00CE4AD0">
        <w:rPr>
          <w:sz w:val="24"/>
          <w:szCs w:val="24"/>
          <w:lang w:val="ro-RO"/>
        </w:rPr>
        <w:t xml:space="preserve"> de masă sau de volum, se rotunjesc </w:t>
      </w:r>
      <w:proofErr w:type="spellStart"/>
      <w:r w:rsidRPr="00CE4AD0">
        <w:rPr>
          <w:sz w:val="24"/>
          <w:szCs w:val="24"/>
          <w:lang w:val="ro-RO"/>
        </w:rPr>
        <w:t>pînă</w:t>
      </w:r>
      <w:proofErr w:type="spellEnd"/>
      <w:r w:rsidRPr="00CE4AD0">
        <w:rPr>
          <w:sz w:val="24"/>
          <w:szCs w:val="24"/>
          <w:lang w:val="ro-RO"/>
        </w:rPr>
        <w:t xml:space="preserve"> la cea mai apropiată zecime de gram sau de mililitru.</w:t>
      </w:r>
    </w:p>
    <w:p w14:paraId="59AF94B7" w14:textId="77777777" w:rsidR="00CE4AD0" w:rsidRDefault="00CE4AD0" w:rsidP="001C2D9C">
      <w:pPr>
        <w:tabs>
          <w:tab w:val="left" w:pos="0"/>
        </w:tabs>
        <w:ind w:firstLine="567"/>
        <w:jc w:val="center"/>
        <w:rPr>
          <w:b/>
          <w:bCs/>
          <w:sz w:val="24"/>
          <w:szCs w:val="24"/>
          <w:lang w:val="ro-RO"/>
        </w:rPr>
      </w:pPr>
    </w:p>
    <w:p w14:paraId="65599F86" w14:textId="77777777" w:rsidR="00350876" w:rsidRPr="00CE4AD0" w:rsidRDefault="00350876" w:rsidP="001C2D9C">
      <w:pPr>
        <w:tabs>
          <w:tab w:val="left" w:pos="0"/>
        </w:tabs>
        <w:ind w:firstLine="567"/>
        <w:jc w:val="center"/>
        <w:rPr>
          <w:b/>
          <w:bCs/>
          <w:sz w:val="24"/>
          <w:szCs w:val="24"/>
          <w:lang w:val="ro-RO"/>
        </w:rPr>
      </w:pPr>
    </w:p>
    <w:p w14:paraId="6AF8950D" w14:textId="77777777" w:rsidR="00CE4AD0" w:rsidRDefault="00CE4AD0" w:rsidP="001C2D9C">
      <w:pPr>
        <w:tabs>
          <w:tab w:val="left" w:pos="0"/>
        </w:tabs>
        <w:ind w:firstLine="567"/>
        <w:jc w:val="center"/>
        <w:rPr>
          <w:b/>
          <w:bCs/>
          <w:sz w:val="24"/>
          <w:szCs w:val="24"/>
          <w:lang w:val="ro-RO"/>
        </w:rPr>
      </w:pPr>
    </w:p>
    <w:p w14:paraId="11CC8E7C" w14:textId="77777777" w:rsidR="00350876" w:rsidRDefault="00350876" w:rsidP="001C2D9C">
      <w:pPr>
        <w:tabs>
          <w:tab w:val="left" w:pos="0"/>
        </w:tabs>
        <w:ind w:firstLine="567"/>
        <w:jc w:val="center"/>
        <w:rPr>
          <w:b/>
          <w:bCs/>
          <w:sz w:val="24"/>
          <w:szCs w:val="24"/>
          <w:lang w:val="ro-RO"/>
        </w:rPr>
      </w:pPr>
    </w:p>
    <w:p w14:paraId="0D17EFE7" w14:textId="77777777" w:rsidR="00350876" w:rsidRPr="00CE4AD0" w:rsidRDefault="00350876" w:rsidP="001C2D9C">
      <w:pPr>
        <w:tabs>
          <w:tab w:val="left" w:pos="0"/>
        </w:tabs>
        <w:ind w:firstLine="567"/>
        <w:jc w:val="center"/>
        <w:rPr>
          <w:b/>
          <w:bCs/>
          <w:sz w:val="24"/>
          <w:szCs w:val="24"/>
          <w:lang w:val="ro-RO"/>
        </w:rPr>
      </w:pPr>
    </w:p>
    <w:p w14:paraId="345DA3A8" w14:textId="3FE90F31" w:rsidR="006514A3" w:rsidRPr="00CE4AD0" w:rsidRDefault="006514A3" w:rsidP="001C2D9C">
      <w:pPr>
        <w:tabs>
          <w:tab w:val="left" w:pos="0"/>
        </w:tabs>
        <w:ind w:firstLine="567"/>
        <w:jc w:val="center"/>
        <w:rPr>
          <w:b/>
          <w:bCs/>
          <w:sz w:val="24"/>
          <w:szCs w:val="24"/>
          <w:lang w:val="ro-RO"/>
        </w:rPr>
      </w:pPr>
      <w:r w:rsidRPr="00CE4AD0">
        <w:rPr>
          <w:b/>
          <w:bCs/>
          <w:sz w:val="24"/>
          <w:szCs w:val="24"/>
          <w:lang w:val="ro-RO"/>
        </w:rPr>
        <w:t>III. INSCRIPŢII ŞI MARCAJE</w:t>
      </w:r>
    </w:p>
    <w:p w14:paraId="345DA3A9" w14:textId="77777777" w:rsidR="006514A3" w:rsidRPr="00CE4AD0" w:rsidRDefault="006514A3" w:rsidP="001C2D9C">
      <w:pPr>
        <w:tabs>
          <w:tab w:val="left" w:pos="0"/>
        </w:tabs>
        <w:ind w:firstLine="567"/>
        <w:jc w:val="both"/>
        <w:rPr>
          <w:sz w:val="24"/>
          <w:szCs w:val="24"/>
          <w:lang w:val="ro-RO"/>
        </w:rPr>
      </w:pPr>
      <w:r w:rsidRPr="00CE4AD0">
        <w:rPr>
          <w:sz w:val="24"/>
          <w:szCs w:val="24"/>
          <w:lang w:val="ro-RO"/>
        </w:rPr>
        <w:t xml:space="preserve">7. Toate preambalatele executate în conformitate cu prezentul Regulament trebuie să poarte pe ambalaj următoarele marcaje aplicate, astfel </w:t>
      </w:r>
      <w:proofErr w:type="spellStart"/>
      <w:r w:rsidRPr="00CE4AD0">
        <w:rPr>
          <w:sz w:val="24"/>
          <w:szCs w:val="24"/>
          <w:lang w:val="ro-RO"/>
        </w:rPr>
        <w:t>încît</w:t>
      </w:r>
      <w:proofErr w:type="spellEnd"/>
      <w:r w:rsidRPr="00CE4AD0">
        <w:rPr>
          <w:sz w:val="24"/>
          <w:szCs w:val="24"/>
          <w:lang w:val="ro-RO"/>
        </w:rPr>
        <w:t xml:space="preserve"> să nu poată fi </w:t>
      </w:r>
      <w:proofErr w:type="spellStart"/>
      <w:r w:rsidRPr="00CE4AD0">
        <w:rPr>
          <w:sz w:val="24"/>
          <w:szCs w:val="24"/>
          <w:lang w:val="ro-RO"/>
        </w:rPr>
        <w:t>şterse</w:t>
      </w:r>
      <w:proofErr w:type="spellEnd"/>
      <w:r w:rsidRPr="00CE4AD0">
        <w:rPr>
          <w:sz w:val="24"/>
          <w:szCs w:val="24"/>
          <w:lang w:val="ro-RO"/>
        </w:rPr>
        <w:t xml:space="preserve">, să fie lizibile </w:t>
      </w:r>
      <w:proofErr w:type="spellStart"/>
      <w:r w:rsidRPr="00CE4AD0">
        <w:rPr>
          <w:sz w:val="24"/>
          <w:szCs w:val="24"/>
          <w:lang w:val="ro-RO"/>
        </w:rPr>
        <w:t>şi</w:t>
      </w:r>
      <w:proofErr w:type="spellEnd"/>
      <w:r w:rsidRPr="00CE4AD0">
        <w:rPr>
          <w:sz w:val="24"/>
          <w:szCs w:val="24"/>
          <w:lang w:val="ro-RO"/>
        </w:rPr>
        <w:t xml:space="preserve"> vizibile pe preambalat în </w:t>
      </w:r>
      <w:proofErr w:type="spellStart"/>
      <w:r w:rsidRPr="00CE4AD0">
        <w:rPr>
          <w:sz w:val="24"/>
          <w:szCs w:val="24"/>
          <w:lang w:val="ro-RO"/>
        </w:rPr>
        <w:t>condiţii</w:t>
      </w:r>
      <w:proofErr w:type="spellEnd"/>
      <w:r w:rsidRPr="00CE4AD0">
        <w:rPr>
          <w:sz w:val="24"/>
          <w:szCs w:val="24"/>
          <w:lang w:val="ro-RO"/>
        </w:rPr>
        <w:t xml:space="preserve"> normale de prezentare: </w:t>
      </w:r>
    </w:p>
    <w:p w14:paraId="345DA3AA" w14:textId="40BF44AA" w:rsidR="006514A3" w:rsidRPr="00CE4AD0" w:rsidRDefault="006514A3" w:rsidP="001C2D9C">
      <w:pPr>
        <w:tabs>
          <w:tab w:val="left" w:pos="0"/>
        </w:tabs>
        <w:ind w:firstLine="567"/>
        <w:jc w:val="both"/>
        <w:rPr>
          <w:sz w:val="24"/>
          <w:szCs w:val="24"/>
          <w:lang w:val="ro-RO"/>
        </w:rPr>
      </w:pPr>
      <w:r w:rsidRPr="00CE4AD0">
        <w:rPr>
          <w:sz w:val="24"/>
          <w:szCs w:val="24"/>
          <w:lang w:val="ro-RO"/>
        </w:rPr>
        <w:t xml:space="preserve">1) cantitatea nominală (masa nominală sau volumul nominal), exprimată în kilograme (kg), grame (g), litri (l sau L), centilitri (cl sau </w:t>
      </w:r>
      <w:proofErr w:type="spellStart"/>
      <w:r w:rsidRPr="00CE4AD0">
        <w:rPr>
          <w:sz w:val="24"/>
          <w:szCs w:val="24"/>
          <w:lang w:val="ro-RO"/>
        </w:rPr>
        <w:t>cL</w:t>
      </w:r>
      <w:proofErr w:type="spellEnd"/>
      <w:r w:rsidRPr="00CE4AD0">
        <w:rPr>
          <w:sz w:val="24"/>
          <w:szCs w:val="24"/>
          <w:lang w:val="ro-RO"/>
        </w:rPr>
        <w:t xml:space="preserve">) ori mililitri (ml sau </w:t>
      </w:r>
      <w:proofErr w:type="spellStart"/>
      <w:r w:rsidRPr="00CE4AD0">
        <w:rPr>
          <w:sz w:val="24"/>
          <w:szCs w:val="24"/>
          <w:lang w:val="ro-RO"/>
        </w:rPr>
        <w:t>mL</w:t>
      </w:r>
      <w:proofErr w:type="spellEnd"/>
      <w:r w:rsidRPr="00CE4AD0">
        <w:rPr>
          <w:sz w:val="24"/>
          <w:szCs w:val="24"/>
          <w:lang w:val="ro-RO"/>
        </w:rPr>
        <w:t xml:space="preserve">), </w:t>
      </w:r>
      <w:proofErr w:type="spellStart"/>
      <w:r w:rsidRPr="00CE4AD0">
        <w:rPr>
          <w:sz w:val="24"/>
          <w:szCs w:val="24"/>
          <w:lang w:val="ro-RO"/>
        </w:rPr>
        <w:t>inscripţionată</w:t>
      </w:r>
      <w:proofErr w:type="spellEnd"/>
      <w:r w:rsidRPr="00CE4AD0">
        <w:rPr>
          <w:sz w:val="24"/>
          <w:szCs w:val="24"/>
          <w:lang w:val="ro-RO"/>
        </w:rPr>
        <w:t xml:space="preserve"> în cifre </w:t>
      </w:r>
      <w:proofErr w:type="spellStart"/>
      <w:r w:rsidRPr="00CE4AD0">
        <w:rPr>
          <w:sz w:val="24"/>
          <w:szCs w:val="24"/>
          <w:lang w:val="ro-RO"/>
        </w:rPr>
        <w:t>şi</w:t>
      </w:r>
      <w:proofErr w:type="spellEnd"/>
      <w:r w:rsidRPr="00CE4AD0">
        <w:rPr>
          <w:sz w:val="24"/>
          <w:szCs w:val="24"/>
          <w:lang w:val="ro-RO"/>
        </w:rPr>
        <w:t xml:space="preserve"> urmată de simbolul </w:t>
      </w:r>
      <w:proofErr w:type="spellStart"/>
      <w:r w:rsidRPr="00CE4AD0">
        <w:rPr>
          <w:sz w:val="24"/>
          <w:szCs w:val="24"/>
          <w:lang w:val="ro-RO"/>
        </w:rPr>
        <w:t>unităţii</w:t>
      </w:r>
      <w:proofErr w:type="spellEnd"/>
      <w:r w:rsidRPr="00CE4AD0">
        <w:rPr>
          <w:sz w:val="24"/>
          <w:szCs w:val="24"/>
          <w:lang w:val="ro-RO"/>
        </w:rPr>
        <w:t xml:space="preserve"> de măsură sau de denumirea acesteia</w:t>
      </w:r>
      <w:r w:rsidR="00CB5643" w:rsidRPr="00CE4AD0">
        <w:rPr>
          <w:sz w:val="24"/>
          <w:szCs w:val="24"/>
          <w:lang w:val="ro-RO"/>
        </w:rPr>
        <w:t>, în conformitate cu prevederile Hotărârii Guvernului nr. 909/2014 cu privire la aprobarea unităților de măsură legale</w:t>
      </w:r>
      <w:r w:rsidRPr="00CE4AD0">
        <w:rPr>
          <w:sz w:val="24"/>
          <w:szCs w:val="24"/>
          <w:lang w:val="ro-RO"/>
        </w:rPr>
        <w:t xml:space="preserve">. </w:t>
      </w:r>
      <w:proofErr w:type="spellStart"/>
      <w:r w:rsidRPr="00CE4AD0">
        <w:rPr>
          <w:sz w:val="24"/>
          <w:szCs w:val="24"/>
          <w:lang w:val="ro-RO"/>
        </w:rPr>
        <w:t>Înălţimea</w:t>
      </w:r>
      <w:proofErr w:type="spellEnd"/>
      <w:r w:rsidRPr="00CE4AD0">
        <w:rPr>
          <w:sz w:val="24"/>
          <w:szCs w:val="24"/>
          <w:lang w:val="ro-RO"/>
        </w:rPr>
        <w:t xml:space="preserve"> minimă a cifrelor este prevăzută în tabelul 2 din prezenta anexă;</w:t>
      </w:r>
    </w:p>
    <w:p w14:paraId="345DA3AC" w14:textId="77777777" w:rsidR="006514A3" w:rsidRPr="00CE4AD0" w:rsidRDefault="006514A3" w:rsidP="001C2D9C">
      <w:pPr>
        <w:tabs>
          <w:tab w:val="left" w:pos="0"/>
        </w:tabs>
        <w:ind w:firstLine="567"/>
        <w:jc w:val="right"/>
        <w:rPr>
          <w:sz w:val="24"/>
          <w:szCs w:val="24"/>
          <w:lang w:val="ro-RO"/>
        </w:rPr>
      </w:pPr>
      <w:r w:rsidRPr="00CE4AD0">
        <w:rPr>
          <w:sz w:val="24"/>
          <w:szCs w:val="24"/>
          <w:lang w:val="ro-RO"/>
        </w:rPr>
        <w:t>Tabelul 2</w:t>
      </w:r>
    </w:p>
    <w:tbl>
      <w:tblPr>
        <w:tblW w:w="900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5031"/>
      </w:tblGrid>
      <w:tr w:rsidR="006514A3" w:rsidRPr="00350876" w14:paraId="345DA3B1" w14:textId="77777777" w:rsidTr="00B0087D">
        <w:trPr>
          <w:trHeight w:val="550"/>
        </w:trPr>
        <w:tc>
          <w:tcPr>
            <w:tcW w:w="3969" w:type="dxa"/>
            <w:vAlign w:val="center"/>
          </w:tcPr>
          <w:p w14:paraId="345DA3AD" w14:textId="77777777" w:rsidR="006514A3" w:rsidRPr="001C2D9C" w:rsidRDefault="006514A3" w:rsidP="001C2D9C">
            <w:pPr>
              <w:tabs>
                <w:tab w:val="left" w:pos="0"/>
              </w:tabs>
              <w:ind w:firstLine="709"/>
              <w:jc w:val="center"/>
              <w:rPr>
                <w:b/>
                <w:vertAlign w:val="subscript"/>
                <w:lang w:val="ro-RO"/>
              </w:rPr>
            </w:pPr>
            <w:r w:rsidRPr="001C2D9C">
              <w:rPr>
                <w:b/>
                <w:lang w:val="ro-RO"/>
              </w:rPr>
              <w:t xml:space="preserve">Cantitatea nominală </w:t>
            </w:r>
            <w:proofErr w:type="spellStart"/>
            <w:r w:rsidRPr="001C2D9C">
              <w:rPr>
                <w:b/>
                <w:lang w:val="ro-RO"/>
              </w:rPr>
              <w:t>Q</w:t>
            </w:r>
            <w:r w:rsidRPr="001C2D9C">
              <w:rPr>
                <w:b/>
                <w:vertAlign w:val="subscript"/>
                <w:lang w:val="ro-RO"/>
              </w:rPr>
              <w:t>n</w:t>
            </w:r>
            <w:proofErr w:type="spellEnd"/>
          </w:p>
          <w:p w14:paraId="345DA3AE" w14:textId="77777777" w:rsidR="006514A3" w:rsidRPr="001C2D9C" w:rsidRDefault="006514A3" w:rsidP="001C2D9C">
            <w:pPr>
              <w:tabs>
                <w:tab w:val="left" w:pos="0"/>
              </w:tabs>
              <w:ind w:firstLine="709"/>
              <w:jc w:val="center"/>
              <w:rPr>
                <w:b/>
                <w:bCs/>
                <w:lang w:val="ro-RO"/>
              </w:rPr>
            </w:pPr>
            <w:r w:rsidRPr="001C2D9C">
              <w:rPr>
                <w:b/>
                <w:lang w:val="ro-RO"/>
              </w:rPr>
              <w:t>(g sau ml)</w:t>
            </w:r>
          </w:p>
        </w:tc>
        <w:tc>
          <w:tcPr>
            <w:tcW w:w="5031" w:type="dxa"/>
            <w:vAlign w:val="center"/>
          </w:tcPr>
          <w:p w14:paraId="345DA3AF" w14:textId="77777777" w:rsidR="006514A3" w:rsidRPr="001C2D9C" w:rsidRDefault="006514A3" w:rsidP="001C2D9C">
            <w:pPr>
              <w:tabs>
                <w:tab w:val="left" w:pos="0"/>
              </w:tabs>
              <w:ind w:firstLine="709"/>
              <w:jc w:val="center"/>
              <w:rPr>
                <w:b/>
                <w:bCs/>
                <w:lang w:val="ro-RO"/>
              </w:rPr>
            </w:pPr>
            <w:proofErr w:type="spellStart"/>
            <w:r w:rsidRPr="001C2D9C">
              <w:rPr>
                <w:b/>
                <w:lang w:val="ro-RO"/>
              </w:rPr>
              <w:t>Înălţimea</w:t>
            </w:r>
            <w:proofErr w:type="spellEnd"/>
            <w:r w:rsidRPr="001C2D9C">
              <w:rPr>
                <w:b/>
                <w:lang w:val="ro-RO"/>
              </w:rPr>
              <w:t xml:space="preserve"> minimă a cifrelor</w:t>
            </w:r>
          </w:p>
          <w:p w14:paraId="345DA3B0" w14:textId="77777777" w:rsidR="006514A3" w:rsidRPr="001C2D9C" w:rsidRDefault="006514A3" w:rsidP="001C2D9C">
            <w:pPr>
              <w:tabs>
                <w:tab w:val="left" w:pos="0"/>
              </w:tabs>
              <w:ind w:firstLine="709"/>
              <w:jc w:val="center"/>
              <w:rPr>
                <w:b/>
                <w:bCs/>
                <w:lang w:val="ro-RO"/>
              </w:rPr>
            </w:pPr>
            <w:r w:rsidRPr="001C2D9C">
              <w:rPr>
                <w:b/>
                <w:lang w:val="ro-RO"/>
              </w:rPr>
              <w:t>(mm)</w:t>
            </w:r>
          </w:p>
        </w:tc>
      </w:tr>
      <w:tr w:rsidR="006514A3" w:rsidRPr="00CE4AD0" w14:paraId="345DA3B4" w14:textId="77777777" w:rsidTr="00B0087D">
        <w:tc>
          <w:tcPr>
            <w:tcW w:w="3969" w:type="dxa"/>
          </w:tcPr>
          <w:p w14:paraId="345DA3B2" w14:textId="77777777" w:rsidR="006514A3" w:rsidRPr="001C2D9C" w:rsidRDefault="006514A3" w:rsidP="001C2D9C">
            <w:pPr>
              <w:tabs>
                <w:tab w:val="left" w:pos="0"/>
              </w:tabs>
              <w:ind w:firstLine="709"/>
              <w:jc w:val="center"/>
              <w:rPr>
                <w:b/>
                <w:bCs/>
                <w:lang w:val="ro-RO"/>
              </w:rPr>
            </w:pPr>
            <w:proofErr w:type="spellStart"/>
            <w:r w:rsidRPr="001C2D9C">
              <w:rPr>
                <w:lang w:val="ro-RO"/>
              </w:rPr>
              <w:t>Q</w:t>
            </w:r>
            <w:r w:rsidRPr="001C2D9C">
              <w:rPr>
                <w:vertAlign w:val="subscript"/>
                <w:lang w:val="ro-RO"/>
              </w:rPr>
              <w:t>n</w:t>
            </w:r>
            <w:proofErr w:type="spellEnd"/>
            <w:r w:rsidRPr="001C2D9C">
              <w:rPr>
                <w:lang w:val="ro-RO"/>
              </w:rPr>
              <w:t xml:space="preserve"> </w:t>
            </w:r>
            <w:r w:rsidRPr="001C2D9C">
              <w:rPr>
                <w:lang w:val="ro-RO"/>
              </w:rPr>
              <w:sym w:font="Symbol" w:char="F0A3"/>
            </w:r>
            <w:r w:rsidRPr="001C2D9C">
              <w:rPr>
                <w:lang w:val="ro-RO"/>
              </w:rPr>
              <w:t xml:space="preserve"> 50</w:t>
            </w:r>
          </w:p>
        </w:tc>
        <w:tc>
          <w:tcPr>
            <w:tcW w:w="5031" w:type="dxa"/>
          </w:tcPr>
          <w:p w14:paraId="345DA3B3" w14:textId="77777777" w:rsidR="006514A3" w:rsidRPr="001C2D9C" w:rsidRDefault="006514A3" w:rsidP="001C2D9C">
            <w:pPr>
              <w:tabs>
                <w:tab w:val="left" w:pos="0"/>
              </w:tabs>
              <w:ind w:firstLine="709"/>
              <w:jc w:val="center"/>
              <w:rPr>
                <w:lang w:val="ro-RO"/>
              </w:rPr>
            </w:pPr>
            <w:r w:rsidRPr="001C2D9C">
              <w:rPr>
                <w:lang w:val="ro-RO"/>
              </w:rPr>
              <w:t>2</w:t>
            </w:r>
          </w:p>
        </w:tc>
      </w:tr>
      <w:tr w:rsidR="006514A3" w:rsidRPr="00CE4AD0" w14:paraId="345DA3B7" w14:textId="77777777" w:rsidTr="00B0087D">
        <w:tc>
          <w:tcPr>
            <w:tcW w:w="3969" w:type="dxa"/>
          </w:tcPr>
          <w:p w14:paraId="345DA3B5" w14:textId="77777777" w:rsidR="006514A3" w:rsidRPr="001C2D9C" w:rsidRDefault="006514A3" w:rsidP="001C2D9C">
            <w:pPr>
              <w:tabs>
                <w:tab w:val="left" w:pos="0"/>
              </w:tabs>
              <w:ind w:firstLine="709"/>
              <w:jc w:val="center"/>
              <w:rPr>
                <w:b/>
                <w:bCs/>
                <w:lang w:val="ro-RO"/>
              </w:rPr>
            </w:pPr>
            <w:r w:rsidRPr="001C2D9C">
              <w:rPr>
                <w:lang w:val="ro-RO"/>
              </w:rPr>
              <w:t xml:space="preserve">50 </w:t>
            </w:r>
            <w:r w:rsidRPr="001C2D9C">
              <w:rPr>
                <w:lang w:val="ro-RO"/>
              </w:rPr>
              <w:sym w:font="Symbol" w:char="F0A3"/>
            </w:r>
            <w:r w:rsidRPr="001C2D9C">
              <w:rPr>
                <w:lang w:val="ro-RO"/>
              </w:rPr>
              <w:t xml:space="preserve"> </w:t>
            </w:r>
            <w:proofErr w:type="spellStart"/>
            <w:r w:rsidRPr="001C2D9C">
              <w:rPr>
                <w:lang w:val="ro-RO"/>
              </w:rPr>
              <w:t>Q</w:t>
            </w:r>
            <w:r w:rsidRPr="001C2D9C">
              <w:rPr>
                <w:vertAlign w:val="subscript"/>
                <w:lang w:val="ro-RO"/>
              </w:rPr>
              <w:t>n</w:t>
            </w:r>
            <w:proofErr w:type="spellEnd"/>
            <w:r w:rsidRPr="001C2D9C">
              <w:rPr>
                <w:lang w:val="ro-RO"/>
              </w:rPr>
              <w:t xml:space="preserve"> </w:t>
            </w:r>
            <w:r w:rsidRPr="001C2D9C">
              <w:rPr>
                <w:lang w:val="ro-RO"/>
              </w:rPr>
              <w:sym w:font="Symbol" w:char="F0A3"/>
            </w:r>
            <w:r w:rsidRPr="001C2D9C">
              <w:rPr>
                <w:lang w:val="ro-RO"/>
              </w:rPr>
              <w:t xml:space="preserve"> 200</w:t>
            </w:r>
          </w:p>
        </w:tc>
        <w:tc>
          <w:tcPr>
            <w:tcW w:w="5031" w:type="dxa"/>
          </w:tcPr>
          <w:p w14:paraId="345DA3B6" w14:textId="77777777" w:rsidR="006514A3" w:rsidRPr="001C2D9C" w:rsidRDefault="006514A3" w:rsidP="001C2D9C">
            <w:pPr>
              <w:tabs>
                <w:tab w:val="left" w:pos="0"/>
              </w:tabs>
              <w:ind w:firstLine="709"/>
              <w:jc w:val="center"/>
              <w:rPr>
                <w:lang w:val="ro-RO"/>
              </w:rPr>
            </w:pPr>
            <w:r w:rsidRPr="001C2D9C">
              <w:rPr>
                <w:lang w:val="ro-RO"/>
              </w:rPr>
              <w:t>3</w:t>
            </w:r>
          </w:p>
        </w:tc>
      </w:tr>
      <w:tr w:rsidR="006514A3" w:rsidRPr="00CE4AD0" w14:paraId="345DA3BA" w14:textId="77777777" w:rsidTr="00B0087D">
        <w:tc>
          <w:tcPr>
            <w:tcW w:w="3969" w:type="dxa"/>
          </w:tcPr>
          <w:p w14:paraId="345DA3B8" w14:textId="77777777" w:rsidR="006514A3" w:rsidRPr="001C2D9C" w:rsidRDefault="006514A3" w:rsidP="001C2D9C">
            <w:pPr>
              <w:tabs>
                <w:tab w:val="left" w:pos="0"/>
              </w:tabs>
              <w:ind w:firstLine="709"/>
              <w:jc w:val="center"/>
              <w:rPr>
                <w:b/>
                <w:bCs/>
                <w:lang w:val="ro-RO"/>
              </w:rPr>
            </w:pPr>
            <w:r w:rsidRPr="001C2D9C">
              <w:rPr>
                <w:lang w:val="ro-RO"/>
              </w:rPr>
              <w:t xml:space="preserve">200 </w:t>
            </w:r>
            <w:r w:rsidRPr="001C2D9C">
              <w:rPr>
                <w:lang w:val="ro-RO"/>
              </w:rPr>
              <w:sym w:font="Symbol" w:char="F0A3"/>
            </w:r>
            <w:r w:rsidRPr="001C2D9C">
              <w:rPr>
                <w:lang w:val="ro-RO"/>
              </w:rPr>
              <w:t xml:space="preserve"> </w:t>
            </w:r>
            <w:proofErr w:type="spellStart"/>
            <w:r w:rsidRPr="001C2D9C">
              <w:rPr>
                <w:lang w:val="ro-RO"/>
              </w:rPr>
              <w:t>Q</w:t>
            </w:r>
            <w:r w:rsidRPr="001C2D9C">
              <w:rPr>
                <w:vertAlign w:val="subscript"/>
                <w:lang w:val="ro-RO"/>
              </w:rPr>
              <w:t>n</w:t>
            </w:r>
            <w:proofErr w:type="spellEnd"/>
            <w:r w:rsidRPr="001C2D9C">
              <w:rPr>
                <w:lang w:val="ro-RO"/>
              </w:rPr>
              <w:t xml:space="preserve"> </w:t>
            </w:r>
            <w:r w:rsidRPr="001C2D9C">
              <w:rPr>
                <w:lang w:val="ro-RO"/>
              </w:rPr>
              <w:sym w:font="Symbol" w:char="F0A3"/>
            </w:r>
            <w:r w:rsidRPr="001C2D9C">
              <w:rPr>
                <w:lang w:val="ro-RO"/>
              </w:rPr>
              <w:t xml:space="preserve"> 1 000</w:t>
            </w:r>
          </w:p>
        </w:tc>
        <w:tc>
          <w:tcPr>
            <w:tcW w:w="5031" w:type="dxa"/>
          </w:tcPr>
          <w:p w14:paraId="345DA3B9" w14:textId="77777777" w:rsidR="006514A3" w:rsidRPr="001C2D9C" w:rsidRDefault="006514A3" w:rsidP="001C2D9C">
            <w:pPr>
              <w:tabs>
                <w:tab w:val="left" w:pos="0"/>
              </w:tabs>
              <w:ind w:firstLine="709"/>
              <w:jc w:val="center"/>
              <w:rPr>
                <w:lang w:val="ro-RO"/>
              </w:rPr>
            </w:pPr>
            <w:r w:rsidRPr="001C2D9C">
              <w:rPr>
                <w:lang w:val="ro-RO"/>
              </w:rPr>
              <w:t>4</w:t>
            </w:r>
          </w:p>
        </w:tc>
      </w:tr>
      <w:tr w:rsidR="006514A3" w:rsidRPr="00CE4AD0" w14:paraId="345DA3BD" w14:textId="77777777" w:rsidTr="00B0087D">
        <w:tc>
          <w:tcPr>
            <w:tcW w:w="3969" w:type="dxa"/>
          </w:tcPr>
          <w:p w14:paraId="345DA3BB" w14:textId="77777777" w:rsidR="006514A3" w:rsidRPr="001C2D9C" w:rsidRDefault="006514A3" w:rsidP="001C2D9C">
            <w:pPr>
              <w:tabs>
                <w:tab w:val="left" w:pos="0"/>
              </w:tabs>
              <w:ind w:firstLine="709"/>
              <w:jc w:val="center"/>
              <w:rPr>
                <w:b/>
                <w:bCs/>
                <w:lang w:val="ro-RO"/>
              </w:rPr>
            </w:pPr>
            <w:r w:rsidRPr="001C2D9C">
              <w:rPr>
                <w:lang w:val="ro-RO"/>
              </w:rPr>
              <w:t xml:space="preserve">1 000 </w:t>
            </w:r>
            <w:r w:rsidRPr="001C2D9C">
              <w:rPr>
                <w:lang w:val="ro-RO"/>
              </w:rPr>
              <w:sym w:font="Symbol" w:char="F0A3"/>
            </w:r>
            <w:r w:rsidRPr="001C2D9C">
              <w:rPr>
                <w:lang w:val="ro-RO"/>
              </w:rPr>
              <w:t xml:space="preserve"> </w:t>
            </w:r>
            <w:proofErr w:type="spellStart"/>
            <w:r w:rsidRPr="001C2D9C">
              <w:rPr>
                <w:lang w:val="ro-RO"/>
              </w:rPr>
              <w:t>Q</w:t>
            </w:r>
            <w:r w:rsidRPr="001C2D9C">
              <w:rPr>
                <w:vertAlign w:val="subscript"/>
                <w:lang w:val="ro-RO"/>
              </w:rPr>
              <w:t>n</w:t>
            </w:r>
            <w:proofErr w:type="spellEnd"/>
          </w:p>
        </w:tc>
        <w:tc>
          <w:tcPr>
            <w:tcW w:w="5031" w:type="dxa"/>
          </w:tcPr>
          <w:p w14:paraId="345DA3BC" w14:textId="77777777" w:rsidR="006514A3" w:rsidRPr="001C2D9C" w:rsidRDefault="006514A3" w:rsidP="001C2D9C">
            <w:pPr>
              <w:tabs>
                <w:tab w:val="left" w:pos="0"/>
              </w:tabs>
              <w:ind w:firstLine="709"/>
              <w:jc w:val="center"/>
              <w:rPr>
                <w:lang w:val="ro-RO"/>
              </w:rPr>
            </w:pPr>
            <w:r w:rsidRPr="001C2D9C">
              <w:rPr>
                <w:lang w:val="ro-RO"/>
              </w:rPr>
              <w:t>6</w:t>
            </w:r>
          </w:p>
        </w:tc>
      </w:tr>
    </w:tbl>
    <w:p w14:paraId="345DA3BE" w14:textId="77777777" w:rsidR="006514A3" w:rsidRPr="00CE4AD0" w:rsidRDefault="006514A3" w:rsidP="00140945">
      <w:pPr>
        <w:tabs>
          <w:tab w:val="left" w:pos="0"/>
        </w:tabs>
        <w:ind w:firstLine="709"/>
        <w:jc w:val="both"/>
        <w:rPr>
          <w:sz w:val="24"/>
          <w:szCs w:val="24"/>
          <w:lang w:val="ro-RO"/>
        </w:rPr>
      </w:pPr>
    </w:p>
    <w:p w14:paraId="345DA3BF" w14:textId="77777777" w:rsidR="006514A3" w:rsidRPr="00CE4AD0" w:rsidRDefault="006514A3" w:rsidP="001C2D9C">
      <w:pPr>
        <w:tabs>
          <w:tab w:val="left" w:pos="0"/>
          <w:tab w:val="left" w:pos="360"/>
        </w:tabs>
        <w:ind w:firstLine="567"/>
        <w:jc w:val="both"/>
        <w:rPr>
          <w:sz w:val="24"/>
          <w:szCs w:val="24"/>
          <w:lang w:val="ro-RO"/>
        </w:rPr>
      </w:pPr>
      <w:r w:rsidRPr="00CE4AD0">
        <w:rPr>
          <w:sz w:val="24"/>
          <w:szCs w:val="24"/>
          <w:lang w:val="ro-RO"/>
        </w:rPr>
        <w:t xml:space="preserve">2) o marcă sau o </w:t>
      </w:r>
      <w:proofErr w:type="spellStart"/>
      <w:r w:rsidRPr="00CE4AD0">
        <w:rPr>
          <w:sz w:val="24"/>
          <w:szCs w:val="24"/>
          <w:lang w:val="ro-RO"/>
        </w:rPr>
        <w:t>inscripţie</w:t>
      </w:r>
      <w:proofErr w:type="spellEnd"/>
      <w:r w:rsidRPr="00CE4AD0">
        <w:rPr>
          <w:sz w:val="24"/>
          <w:szCs w:val="24"/>
          <w:lang w:val="ro-RO"/>
        </w:rPr>
        <w:t xml:space="preserve"> care să permită identificarea ambalatorului sau a persoanei care a dispus ambalarea sau importatorul stabilit în Republica Moldova;</w:t>
      </w:r>
    </w:p>
    <w:p w14:paraId="345DA3C0" w14:textId="77777777" w:rsidR="006514A3" w:rsidRPr="00CE4AD0" w:rsidRDefault="006514A3" w:rsidP="001C2D9C">
      <w:pPr>
        <w:tabs>
          <w:tab w:val="left" w:pos="0"/>
          <w:tab w:val="left" w:pos="360"/>
        </w:tabs>
        <w:ind w:firstLine="567"/>
        <w:jc w:val="both"/>
        <w:rPr>
          <w:sz w:val="24"/>
          <w:szCs w:val="24"/>
          <w:lang w:val="ro-RO"/>
        </w:rPr>
      </w:pPr>
      <w:r w:rsidRPr="00CE4AD0">
        <w:rPr>
          <w:sz w:val="24"/>
          <w:szCs w:val="24"/>
          <w:lang w:val="ro-RO"/>
        </w:rPr>
        <w:t>3) marcajul „e’’.</w:t>
      </w:r>
    </w:p>
    <w:p w14:paraId="3A079BBA" w14:textId="77777777" w:rsidR="00EC0CC7" w:rsidRDefault="00EC0CC7" w:rsidP="001C2D9C">
      <w:pPr>
        <w:tabs>
          <w:tab w:val="left" w:pos="-142"/>
          <w:tab w:val="left" w:pos="0"/>
          <w:tab w:val="left" w:pos="360"/>
          <w:tab w:val="left" w:pos="540"/>
        </w:tabs>
        <w:ind w:firstLine="567"/>
        <w:jc w:val="both"/>
        <w:rPr>
          <w:sz w:val="24"/>
          <w:szCs w:val="24"/>
          <w:lang w:val="ro-RO"/>
        </w:rPr>
      </w:pPr>
      <w:r w:rsidRPr="00EC0CC7">
        <w:rPr>
          <w:sz w:val="24"/>
          <w:szCs w:val="24"/>
          <w:lang w:val="ro-RO"/>
        </w:rPr>
        <w:t>8. Marcajul „e” trebuie să aibă forma conform desenului prezentat în anexa nr. 3 la prezentul Regulament și să fie plasat în același câmp vizual cu valoarea masei nominale sau a volumului nominal inscripționat pe ambalaj.</w:t>
      </w:r>
    </w:p>
    <w:p w14:paraId="345DA3C3" w14:textId="130B7802" w:rsidR="006514A3" w:rsidRDefault="006514A3" w:rsidP="001C2D9C">
      <w:pPr>
        <w:tabs>
          <w:tab w:val="left" w:pos="-142"/>
          <w:tab w:val="left" w:pos="0"/>
          <w:tab w:val="left" w:pos="360"/>
          <w:tab w:val="left" w:pos="540"/>
        </w:tabs>
        <w:ind w:firstLine="567"/>
        <w:jc w:val="both"/>
        <w:rPr>
          <w:sz w:val="24"/>
          <w:szCs w:val="24"/>
          <w:lang w:val="ro-RO"/>
        </w:rPr>
      </w:pPr>
      <w:r w:rsidRPr="00CE4AD0">
        <w:rPr>
          <w:sz w:val="24"/>
          <w:szCs w:val="24"/>
          <w:lang w:val="ro-RO"/>
        </w:rPr>
        <w:t xml:space="preserve">9. Se interzice </w:t>
      </w:r>
      <w:proofErr w:type="spellStart"/>
      <w:r w:rsidRPr="00CE4AD0">
        <w:rPr>
          <w:sz w:val="24"/>
          <w:szCs w:val="24"/>
          <w:lang w:val="ro-RO"/>
        </w:rPr>
        <w:t>inscripţionarea</w:t>
      </w:r>
      <w:proofErr w:type="spellEnd"/>
      <w:r w:rsidRPr="00CE4AD0">
        <w:rPr>
          <w:sz w:val="24"/>
          <w:szCs w:val="24"/>
          <w:lang w:val="ro-RO"/>
        </w:rPr>
        <w:t xml:space="preserve"> pe produsele preambalate a altor marcaje sau simboluri care ar putea fi confundate cu marcajul „e”.</w:t>
      </w:r>
    </w:p>
    <w:p w14:paraId="1B702F00" w14:textId="77777777" w:rsidR="001C2D9C" w:rsidRPr="00CE4AD0" w:rsidRDefault="001C2D9C" w:rsidP="001C2D9C">
      <w:pPr>
        <w:tabs>
          <w:tab w:val="left" w:pos="-142"/>
          <w:tab w:val="left" w:pos="0"/>
          <w:tab w:val="left" w:pos="360"/>
          <w:tab w:val="left" w:pos="540"/>
        </w:tabs>
        <w:ind w:firstLine="567"/>
        <w:jc w:val="both"/>
        <w:rPr>
          <w:sz w:val="24"/>
          <w:szCs w:val="24"/>
          <w:lang w:val="ro-RO"/>
        </w:rPr>
      </w:pPr>
    </w:p>
    <w:p w14:paraId="345DA3C4" w14:textId="77777777" w:rsidR="006514A3" w:rsidRPr="00CE4AD0" w:rsidRDefault="006514A3" w:rsidP="001C2D9C">
      <w:pPr>
        <w:tabs>
          <w:tab w:val="left" w:pos="0"/>
          <w:tab w:val="left" w:pos="540"/>
        </w:tabs>
        <w:ind w:firstLine="567"/>
        <w:jc w:val="center"/>
        <w:rPr>
          <w:b/>
          <w:bCs/>
          <w:sz w:val="24"/>
          <w:szCs w:val="24"/>
          <w:lang w:val="ro-RO"/>
        </w:rPr>
      </w:pPr>
      <w:r w:rsidRPr="00CE4AD0">
        <w:rPr>
          <w:b/>
          <w:bCs/>
          <w:sz w:val="24"/>
          <w:szCs w:val="24"/>
          <w:lang w:val="ro-RO"/>
        </w:rPr>
        <w:t xml:space="preserve">IV. RESPONSABILITATEA AMBALATORULUI </w:t>
      </w:r>
    </w:p>
    <w:p w14:paraId="345DA3C5" w14:textId="77777777" w:rsidR="006514A3" w:rsidRPr="00CE4AD0" w:rsidRDefault="006514A3" w:rsidP="001C2D9C">
      <w:pPr>
        <w:tabs>
          <w:tab w:val="left" w:pos="0"/>
          <w:tab w:val="left" w:pos="540"/>
        </w:tabs>
        <w:ind w:firstLine="567"/>
        <w:jc w:val="center"/>
        <w:rPr>
          <w:sz w:val="24"/>
          <w:szCs w:val="24"/>
          <w:lang w:val="ro-RO"/>
        </w:rPr>
      </w:pPr>
      <w:r w:rsidRPr="00CE4AD0">
        <w:rPr>
          <w:b/>
          <w:bCs/>
          <w:sz w:val="24"/>
          <w:szCs w:val="24"/>
          <w:lang w:val="ro-RO"/>
        </w:rPr>
        <w:t>ŞI IMPORTATORULUI</w:t>
      </w:r>
    </w:p>
    <w:p w14:paraId="345DA3C6" w14:textId="77777777" w:rsidR="006514A3" w:rsidRPr="00CE4AD0" w:rsidRDefault="006514A3" w:rsidP="001C2D9C">
      <w:pPr>
        <w:tabs>
          <w:tab w:val="left" w:pos="0"/>
          <w:tab w:val="left" w:pos="360"/>
        </w:tabs>
        <w:ind w:firstLine="567"/>
        <w:jc w:val="both"/>
        <w:rPr>
          <w:sz w:val="24"/>
          <w:szCs w:val="24"/>
          <w:lang w:val="ro-RO"/>
        </w:rPr>
      </w:pPr>
      <w:r w:rsidRPr="00CE4AD0">
        <w:rPr>
          <w:sz w:val="24"/>
          <w:szCs w:val="24"/>
          <w:lang w:val="ro-RO"/>
        </w:rPr>
        <w:t xml:space="preserve">10. Ambalatorul sau importatorul produselor preambalate are </w:t>
      </w:r>
      <w:proofErr w:type="spellStart"/>
      <w:r w:rsidRPr="00CE4AD0">
        <w:rPr>
          <w:sz w:val="24"/>
          <w:szCs w:val="24"/>
          <w:lang w:val="ro-RO"/>
        </w:rPr>
        <w:t>obligaţia</w:t>
      </w:r>
      <w:proofErr w:type="spellEnd"/>
      <w:r w:rsidRPr="00CE4AD0">
        <w:rPr>
          <w:sz w:val="24"/>
          <w:szCs w:val="24"/>
          <w:lang w:val="ro-RO"/>
        </w:rPr>
        <w:t xml:space="preserve"> de a garanta că preambalatele îndeplinesc </w:t>
      </w:r>
      <w:proofErr w:type="spellStart"/>
      <w:r w:rsidRPr="00CE4AD0">
        <w:rPr>
          <w:sz w:val="24"/>
          <w:szCs w:val="24"/>
          <w:lang w:val="ro-RO"/>
        </w:rPr>
        <w:t>cerinţele</w:t>
      </w:r>
      <w:proofErr w:type="spellEnd"/>
      <w:r w:rsidRPr="00CE4AD0">
        <w:rPr>
          <w:sz w:val="24"/>
          <w:szCs w:val="24"/>
          <w:lang w:val="ro-RO"/>
        </w:rPr>
        <w:t xml:space="preserve"> cuprinse în prezentul Regulament.</w:t>
      </w:r>
    </w:p>
    <w:p w14:paraId="345DA3C7" w14:textId="77777777" w:rsidR="006514A3" w:rsidRPr="00CE4AD0" w:rsidRDefault="006514A3" w:rsidP="001C2D9C">
      <w:pPr>
        <w:tabs>
          <w:tab w:val="left" w:pos="0"/>
          <w:tab w:val="left" w:pos="360"/>
        </w:tabs>
        <w:ind w:firstLine="567"/>
        <w:jc w:val="both"/>
        <w:rPr>
          <w:sz w:val="24"/>
          <w:szCs w:val="24"/>
          <w:lang w:val="ro-RO"/>
        </w:rPr>
      </w:pPr>
      <w:r w:rsidRPr="00CE4AD0">
        <w:rPr>
          <w:sz w:val="24"/>
          <w:szCs w:val="24"/>
          <w:lang w:val="ro-RO"/>
        </w:rPr>
        <w:t xml:space="preserve">11. Cantitatea de produs </w:t>
      </w:r>
      <w:proofErr w:type="spellStart"/>
      <w:r w:rsidRPr="00CE4AD0">
        <w:rPr>
          <w:sz w:val="24"/>
          <w:szCs w:val="24"/>
          <w:lang w:val="ro-RO"/>
        </w:rPr>
        <w:t>conţinută</w:t>
      </w:r>
      <w:proofErr w:type="spellEnd"/>
      <w:r w:rsidRPr="00CE4AD0">
        <w:rPr>
          <w:sz w:val="24"/>
          <w:szCs w:val="24"/>
          <w:lang w:val="ro-RO"/>
        </w:rPr>
        <w:t xml:space="preserve"> într-un preambalat, cunoscută ca fiind </w:t>
      </w:r>
      <w:r w:rsidRPr="00CE4AD0">
        <w:rPr>
          <w:i/>
          <w:sz w:val="24"/>
          <w:szCs w:val="24"/>
          <w:lang w:val="ro-RO"/>
        </w:rPr>
        <w:t>„</w:t>
      </w:r>
      <w:proofErr w:type="spellStart"/>
      <w:r w:rsidRPr="00CE4AD0">
        <w:rPr>
          <w:i/>
          <w:sz w:val="24"/>
          <w:szCs w:val="24"/>
          <w:lang w:val="ro-RO"/>
        </w:rPr>
        <w:t>conţinutul</w:t>
      </w:r>
      <w:proofErr w:type="spellEnd"/>
      <w:r w:rsidRPr="00CE4AD0">
        <w:rPr>
          <w:i/>
          <w:sz w:val="24"/>
          <w:szCs w:val="24"/>
          <w:lang w:val="ro-RO"/>
        </w:rPr>
        <w:t xml:space="preserve"> real”,</w:t>
      </w:r>
      <w:r w:rsidRPr="00CE4AD0">
        <w:rPr>
          <w:sz w:val="24"/>
          <w:szCs w:val="24"/>
          <w:lang w:val="ro-RO"/>
        </w:rPr>
        <w:t xml:space="preserve"> trebuie măsurată sau verificată în </w:t>
      </w:r>
      <w:proofErr w:type="spellStart"/>
      <w:r w:rsidRPr="00CE4AD0">
        <w:rPr>
          <w:sz w:val="24"/>
          <w:szCs w:val="24"/>
          <w:lang w:val="ro-RO"/>
        </w:rPr>
        <w:t>funcţie</w:t>
      </w:r>
      <w:proofErr w:type="spellEnd"/>
      <w:r w:rsidRPr="00CE4AD0">
        <w:rPr>
          <w:sz w:val="24"/>
          <w:szCs w:val="24"/>
          <w:lang w:val="ro-RO"/>
        </w:rPr>
        <w:t xml:space="preserve"> de masă ori de volum pe răspunderea ambalatorului </w:t>
      </w:r>
      <w:proofErr w:type="spellStart"/>
      <w:r w:rsidRPr="00CE4AD0">
        <w:rPr>
          <w:sz w:val="24"/>
          <w:szCs w:val="24"/>
          <w:lang w:val="ro-RO"/>
        </w:rPr>
        <w:t>şi</w:t>
      </w:r>
      <w:proofErr w:type="spellEnd"/>
      <w:r w:rsidRPr="00CE4AD0">
        <w:rPr>
          <w:sz w:val="24"/>
          <w:szCs w:val="24"/>
          <w:lang w:val="ro-RO"/>
        </w:rPr>
        <w:t xml:space="preserve">/sau a importatorului. Măsurarea sau verificarea trebuie efectuată cu mijloace de măsurare legale adecvate pentru efectuarea </w:t>
      </w:r>
      <w:proofErr w:type="spellStart"/>
      <w:r w:rsidRPr="00CE4AD0">
        <w:rPr>
          <w:sz w:val="24"/>
          <w:szCs w:val="24"/>
          <w:lang w:val="ro-RO"/>
        </w:rPr>
        <w:t>operaţiunilor</w:t>
      </w:r>
      <w:proofErr w:type="spellEnd"/>
      <w:r w:rsidRPr="00CE4AD0">
        <w:rPr>
          <w:sz w:val="24"/>
          <w:szCs w:val="24"/>
          <w:lang w:val="ro-RO"/>
        </w:rPr>
        <w:t xml:space="preserve"> necesare. </w:t>
      </w:r>
    </w:p>
    <w:p w14:paraId="345DA3C8" w14:textId="77777777" w:rsidR="006514A3" w:rsidRPr="00CE4AD0" w:rsidRDefault="006514A3" w:rsidP="001C2D9C">
      <w:pPr>
        <w:tabs>
          <w:tab w:val="left" w:pos="0"/>
          <w:tab w:val="left" w:pos="360"/>
        </w:tabs>
        <w:ind w:firstLine="567"/>
        <w:jc w:val="both"/>
        <w:rPr>
          <w:sz w:val="24"/>
          <w:szCs w:val="24"/>
          <w:lang w:val="ro-RO"/>
        </w:rPr>
      </w:pPr>
      <w:r w:rsidRPr="00CE4AD0">
        <w:rPr>
          <w:sz w:val="24"/>
          <w:szCs w:val="24"/>
          <w:lang w:val="ro-RO"/>
        </w:rPr>
        <w:t xml:space="preserve">12. Verificarea se efectuează inclusiv prin </w:t>
      </w:r>
      <w:proofErr w:type="spellStart"/>
      <w:r w:rsidRPr="00CE4AD0">
        <w:rPr>
          <w:sz w:val="24"/>
          <w:szCs w:val="24"/>
          <w:lang w:val="ro-RO"/>
        </w:rPr>
        <w:t>eşantionare</w:t>
      </w:r>
      <w:proofErr w:type="spellEnd"/>
      <w:r w:rsidRPr="00CE4AD0">
        <w:rPr>
          <w:sz w:val="24"/>
          <w:szCs w:val="24"/>
          <w:lang w:val="ro-RO"/>
        </w:rPr>
        <w:t>.</w:t>
      </w:r>
    </w:p>
    <w:p w14:paraId="345DA3C9" w14:textId="7EB4ABEB" w:rsidR="006514A3" w:rsidRPr="00CE4AD0" w:rsidRDefault="006514A3" w:rsidP="001C2D9C">
      <w:pPr>
        <w:tabs>
          <w:tab w:val="left" w:pos="0"/>
          <w:tab w:val="left" w:pos="360"/>
        </w:tabs>
        <w:ind w:firstLine="567"/>
        <w:jc w:val="both"/>
        <w:rPr>
          <w:sz w:val="24"/>
          <w:szCs w:val="24"/>
          <w:lang w:val="ro-RO"/>
        </w:rPr>
      </w:pPr>
      <w:r w:rsidRPr="00CE4AD0">
        <w:rPr>
          <w:sz w:val="24"/>
          <w:szCs w:val="24"/>
          <w:lang w:val="ro-RO"/>
        </w:rPr>
        <w:t xml:space="preserve">13. În cazul în care </w:t>
      </w:r>
      <w:proofErr w:type="spellStart"/>
      <w:r w:rsidRPr="00CE4AD0">
        <w:rPr>
          <w:sz w:val="24"/>
          <w:szCs w:val="24"/>
          <w:lang w:val="ro-RO"/>
        </w:rPr>
        <w:t>conţinutul</w:t>
      </w:r>
      <w:proofErr w:type="spellEnd"/>
      <w:r w:rsidRPr="00CE4AD0">
        <w:rPr>
          <w:sz w:val="24"/>
          <w:szCs w:val="24"/>
          <w:lang w:val="ro-RO"/>
        </w:rPr>
        <w:t xml:space="preserve"> real nu este măsurat, verificarea efectuată de ambalator trebuie organizată astfel </w:t>
      </w:r>
      <w:proofErr w:type="spellStart"/>
      <w:r w:rsidRPr="00CE4AD0">
        <w:rPr>
          <w:sz w:val="24"/>
          <w:szCs w:val="24"/>
          <w:lang w:val="ro-RO"/>
        </w:rPr>
        <w:t>încît</w:t>
      </w:r>
      <w:proofErr w:type="spellEnd"/>
      <w:r w:rsidRPr="00CE4AD0">
        <w:rPr>
          <w:sz w:val="24"/>
          <w:szCs w:val="24"/>
          <w:lang w:val="ro-RO"/>
        </w:rPr>
        <w:t xml:space="preserve"> cantitatea </w:t>
      </w:r>
      <w:proofErr w:type="spellStart"/>
      <w:r w:rsidRPr="00CE4AD0">
        <w:rPr>
          <w:sz w:val="24"/>
          <w:szCs w:val="24"/>
          <w:lang w:val="ro-RO"/>
        </w:rPr>
        <w:t>conţinutului</w:t>
      </w:r>
      <w:proofErr w:type="spellEnd"/>
      <w:r w:rsidRPr="00CE4AD0">
        <w:rPr>
          <w:sz w:val="24"/>
          <w:szCs w:val="24"/>
          <w:lang w:val="ro-RO"/>
        </w:rPr>
        <w:t xml:space="preserve"> să fie </w:t>
      </w:r>
      <w:r w:rsidR="00EA3745" w:rsidRPr="00CE4AD0">
        <w:rPr>
          <w:sz w:val="24"/>
          <w:szCs w:val="24"/>
          <w:lang w:val="ro-RO"/>
        </w:rPr>
        <w:t>în mod eficace</w:t>
      </w:r>
      <w:r w:rsidRPr="00CE4AD0">
        <w:rPr>
          <w:sz w:val="24"/>
          <w:szCs w:val="24"/>
          <w:lang w:val="ro-RO"/>
        </w:rPr>
        <w:t xml:space="preserve"> asigurată.</w:t>
      </w:r>
    </w:p>
    <w:p w14:paraId="345DA3CA" w14:textId="77777777" w:rsidR="006514A3" w:rsidRPr="00CE4AD0" w:rsidRDefault="006514A3" w:rsidP="001C2D9C">
      <w:pPr>
        <w:tabs>
          <w:tab w:val="left" w:pos="0"/>
          <w:tab w:val="left" w:pos="360"/>
        </w:tabs>
        <w:ind w:firstLine="567"/>
        <w:jc w:val="both"/>
        <w:rPr>
          <w:sz w:val="24"/>
          <w:szCs w:val="24"/>
          <w:lang w:val="ro-RO"/>
        </w:rPr>
      </w:pPr>
      <w:r w:rsidRPr="00CE4AD0">
        <w:rPr>
          <w:sz w:val="24"/>
          <w:szCs w:val="24"/>
          <w:lang w:val="ro-RO"/>
        </w:rPr>
        <w:t xml:space="preserve">14. Pentru a îndeplini </w:t>
      </w:r>
      <w:proofErr w:type="spellStart"/>
      <w:r w:rsidRPr="00CE4AD0">
        <w:rPr>
          <w:sz w:val="24"/>
          <w:szCs w:val="24"/>
          <w:lang w:val="ro-RO"/>
        </w:rPr>
        <w:t>condiţia</w:t>
      </w:r>
      <w:proofErr w:type="spellEnd"/>
      <w:r w:rsidRPr="00CE4AD0">
        <w:rPr>
          <w:sz w:val="24"/>
          <w:szCs w:val="24"/>
          <w:lang w:val="ro-RO"/>
        </w:rPr>
        <w:t xml:space="preserve"> de la pct. 13 ambalatorul trebuie să efectueze verificări în procesul producerii, în conformitate cu procedurile de măsurare legale pentru produsele respective, aprobate în modul stabilit de </w:t>
      </w:r>
      <w:proofErr w:type="spellStart"/>
      <w:r w:rsidRPr="00CE4AD0">
        <w:rPr>
          <w:sz w:val="24"/>
          <w:szCs w:val="24"/>
          <w:lang w:val="ro-RO"/>
        </w:rPr>
        <w:t>legislaţia</w:t>
      </w:r>
      <w:proofErr w:type="spellEnd"/>
      <w:r w:rsidRPr="00CE4AD0">
        <w:rPr>
          <w:sz w:val="24"/>
          <w:szCs w:val="24"/>
          <w:lang w:val="ro-RO"/>
        </w:rPr>
        <w:t xml:space="preserve"> în vigoare. Documentele ce </w:t>
      </w:r>
      <w:proofErr w:type="spellStart"/>
      <w:r w:rsidRPr="00CE4AD0">
        <w:rPr>
          <w:sz w:val="24"/>
          <w:szCs w:val="24"/>
          <w:lang w:val="ro-RO"/>
        </w:rPr>
        <w:t>conţin</w:t>
      </w:r>
      <w:proofErr w:type="spellEnd"/>
      <w:r w:rsidRPr="00CE4AD0">
        <w:rPr>
          <w:sz w:val="24"/>
          <w:szCs w:val="24"/>
          <w:lang w:val="ro-RO"/>
        </w:rPr>
        <w:t xml:space="preserve"> rezultatele acestor verificări vor fi păstrate de ambalator spre a fi puse, la solicitare, la </w:t>
      </w:r>
      <w:proofErr w:type="spellStart"/>
      <w:r w:rsidRPr="00CE4AD0">
        <w:rPr>
          <w:sz w:val="24"/>
          <w:szCs w:val="24"/>
          <w:lang w:val="ro-RO"/>
        </w:rPr>
        <w:t>dispoziţia</w:t>
      </w:r>
      <w:proofErr w:type="spellEnd"/>
      <w:r w:rsidRPr="00CE4AD0">
        <w:rPr>
          <w:sz w:val="24"/>
          <w:szCs w:val="24"/>
          <w:lang w:val="ro-RO"/>
        </w:rPr>
        <w:t xml:space="preserve"> Inspectoratului de Stat pentru Supravegherea Produselor Nealimentare și Protecția Consumatorilor, abilitat cu dreptul de efectuare a controlului metrologic legal, pentru a confirma faptul că aceste verificări, împreună cu </w:t>
      </w:r>
      <w:proofErr w:type="spellStart"/>
      <w:r w:rsidRPr="00CE4AD0">
        <w:rPr>
          <w:sz w:val="24"/>
          <w:szCs w:val="24"/>
          <w:lang w:val="ro-RO"/>
        </w:rPr>
        <w:t>corecţiile</w:t>
      </w:r>
      <w:proofErr w:type="spellEnd"/>
      <w:r w:rsidRPr="00CE4AD0">
        <w:rPr>
          <w:sz w:val="24"/>
          <w:szCs w:val="24"/>
          <w:lang w:val="ro-RO"/>
        </w:rPr>
        <w:t xml:space="preserve"> </w:t>
      </w:r>
      <w:proofErr w:type="spellStart"/>
      <w:r w:rsidRPr="00CE4AD0">
        <w:rPr>
          <w:sz w:val="24"/>
          <w:szCs w:val="24"/>
          <w:lang w:val="ro-RO"/>
        </w:rPr>
        <w:t>şi</w:t>
      </w:r>
      <w:proofErr w:type="spellEnd"/>
      <w:r w:rsidRPr="00CE4AD0">
        <w:rPr>
          <w:sz w:val="24"/>
          <w:szCs w:val="24"/>
          <w:lang w:val="ro-RO"/>
        </w:rPr>
        <w:t xml:space="preserve"> ajustările care  s-au dovedit necesare, au fost efectuate corespunzător </w:t>
      </w:r>
      <w:proofErr w:type="spellStart"/>
      <w:r w:rsidRPr="00CE4AD0">
        <w:rPr>
          <w:sz w:val="24"/>
          <w:szCs w:val="24"/>
          <w:lang w:val="ro-RO"/>
        </w:rPr>
        <w:t>şi</w:t>
      </w:r>
      <w:proofErr w:type="spellEnd"/>
      <w:r w:rsidRPr="00CE4AD0">
        <w:rPr>
          <w:sz w:val="24"/>
          <w:szCs w:val="24"/>
          <w:lang w:val="ro-RO"/>
        </w:rPr>
        <w:t xml:space="preserve"> exact. </w:t>
      </w:r>
    </w:p>
    <w:p w14:paraId="345DA3CB" w14:textId="77777777" w:rsidR="006514A3" w:rsidRPr="00CE4AD0" w:rsidRDefault="006514A3" w:rsidP="001C2D9C">
      <w:pPr>
        <w:tabs>
          <w:tab w:val="left" w:pos="0"/>
          <w:tab w:val="left" w:pos="360"/>
        </w:tabs>
        <w:ind w:firstLine="567"/>
        <w:jc w:val="both"/>
        <w:rPr>
          <w:sz w:val="24"/>
          <w:szCs w:val="24"/>
          <w:lang w:val="ro-RO"/>
        </w:rPr>
      </w:pPr>
      <w:r w:rsidRPr="00CE4AD0">
        <w:rPr>
          <w:sz w:val="24"/>
          <w:szCs w:val="24"/>
          <w:lang w:val="ro-RO"/>
        </w:rPr>
        <w:t xml:space="preserve">15. În cazul importurilor, importatorul poate ca, în locul măsurării </w:t>
      </w:r>
      <w:proofErr w:type="spellStart"/>
      <w:r w:rsidRPr="00CE4AD0">
        <w:rPr>
          <w:sz w:val="24"/>
          <w:szCs w:val="24"/>
          <w:lang w:val="ro-RO"/>
        </w:rPr>
        <w:t>şi</w:t>
      </w:r>
      <w:proofErr w:type="spellEnd"/>
      <w:r w:rsidRPr="00CE4AD0">
        <w:rPr>
          <w:sz w:val="24"/>
          <w:szCs w:val="24"/>
          <w:lang w:val="ro-RO"/>
        </w:rPr>
        <w:t xml:space="preserve"> al verificării, să furnizeze documentele care atestă că preambalatele au fost măsurate sau verificate </w:t>
      </w:r>
      <w:proofErr w:type="spellStart"/>
      <w:r w:rsidRPr="00CE4AD0">
        <w:rPr>
          <w:sz w:val="24"/>
          <w:szCs w:val="24"/>
          <w:lang w:val="ro-RO"/>
        </w:rPr>
        <w:t>şi</w:t>
      </w:r>
      <w:proofErr w:type="spellEnd"/>
      <w:r w:rsidRPr="00CE4AD0">
        <w:rPr>
          <w:sz w:val="24"/>
          <w:szCs w:val="24"/>
          <w:lang w:val="ro-RO"/>
        </w:rPr>
        <w:t xml:space="preserve"> corespund cerințelor prezentului Regulament.</w:t>
      </w:r>
    </w:p>
    <w:p w14:paraId="345DA3CC" w14:textId="469E75B6" w:rsidR="006514A3" w:rsidRPr="00CE4AD0" w:rsidRDefault="006514A3" w:rsidP="001C2D9C">
      <w:pPr>
        <w:tabs>
          <w:tab w:val="left" w:pos="0"/>
          <w:tab w:val="left" w:pos="360"/>
        </w:tabs>
        <w:ind w:firstLine="567"/>
        <w:jc w:val="both"/>
        <w:rPr>
          <w:sz w:val="24"/>
          <w:szCs w:val="24"/>
          <w:lang w:val="ro-RO"/>
        </w:rPr>
      </w:pPr>
      <w:r w:rsidRPr="00CE4AD0">
        <w:rPr>
          <w:sz w:val="24"/>
          <w:szCs w:val="24"/>
          <w:lang w:val="ro-RO"/>
        </w:rPr>
        <w:t xml:space="preserve">16. În cazul unor produse în </w:t>
      </w:r>
      <w:proofErr w:type="spellStart"/>
      <w:r w:rsidRPr="00CE4AD0">
        <w:rPr>
          <w:sz w:val="24"/>
          <w:szCs w:val="24"/>
          <w:lang w:val="ro-RO"/>
        </w:rPr>
        <w:t>cantităţi</w:t>
      </w:r>
      <w:proofErr w:type="spellEnd"/>
      <w:r w:rsidRPr="00CE4AD0">
        <w:rPr>
          <w:sz w:val="24"/>
          <w:szCs w:val="24"/>
          <w:lang w:val="ro-RO"/>
        </w:rPr>
        <w:t xml:space="preserve"> exprimate în </w:t>
      </w:r>
      <w:proofErr w:type="spellStart"/>
      <w:r w:rsidRPr="00CE4AD0">
        <w:rPr>
          <w:sz w:val="24"/>
          <w:szCs w:val="24"/>
          <w:lang w:val="ro-RO"/>
        </w:rPr>
        <w:t>unităţi</w:t>
      </w:r>
      <w:proofErr w:type="spellEnd"/>
      <w:r w:rsidRPr="00CE4AD0">
        <w:rPr>
          <w:sz w:val="24"/>
          <w:szCs w:val="24"/>
          <w:lang w:val="ro-RO"/>
        </w:rPr>
        <w:t xml:space="preserve"> de volum, una dintre diversele metode de satisfacere a </w:t>
      </w:r>
      <w:proofErr w:type="spellStart"/>
      <w:r w:rsidRPr="00CE4AD0">
        <w:rPr>
          <w:sz w:val="24"/>
          <w:szCs w:val="24"/>
          <w:lang w:val="ro-RO"/>
        </w:rPr>
        <w:t>cerinţelor</w:t>
      </w:r>
      <w:proofErr w:type="spellEnd"/>
      <w:r w:rsidRPr="00CE4AD0">
        <w:rPr>
          <w:sz w:val="24"/>
          <w:szCs w:val="24"/>
          <w:lang w:val="ro-RO"/>
        </w:rPr>
        <w:t xml:space="preserve"> referitoare la măsurare </w:t>
      </w:r>
      <w:proofErr w:type="spellStart"/>
      <w:r w:rsidRPr="00CE4AD0">
        <w:rPr>
          <w:sz w:val="24"/>
          <w:szCs w:val="24"/>
          <w:lang w:val="ro-RO"/>
        </w:rPr>
        <w:t>şi</w:t>
      </w:r>
      <w:proofErr w:type="spellEnd"/>
      <w:r w:rsidRPr="00CE4AD0">
        <w:rPr>
          <w:sz w:val="24"/>
          <w:szCs w:val="24"/>
          <w:lang w:val="ro-RO"/>
        </w:rPr>
        <w:t xml:space="preserve"> verificare este de a utiliza, în momentul în care se execută preambalatul, un recipient de măsurare de tipul prevăzut, conform unui </w:t>
      </w:r>
      <w:r w:rsidRPr="00CE4AD0">
        <w:rPr>
          <w:sz w:val="24"/>
          <w:szCs w:val="24"/>
          <w:lang w:val="ro-RO"/>
        </w:rPr>
        <w:lastRenderedPageBreak/>
        <w:t xml:space="preserve">regulament de stabilire a </w:t>
      </w:r>
      <w:proofErr w:type="spellStart"/>
      <w:r w:rsidRPr="00CE4AD0">
        <w:rPr>
          <w:sz w:val="24"/>
          <w:szCs w:val="24"/>
          <w:lang w:val="ro-RO"/>
        </w:rPr>
        <w:t>cerinţelor</w:t>
      </w:r>
      <w:proofErr w:type="spellEnd"/>
      <w:r w:rsidRPr="00CE4AD0">
        <w:rPr>
          <w:sz w:val="24"/>
          <w:szCs w:val="24"/>
          <w:lang w:val="ro-RO"/>
        </w:rPr>
        <w:t xml:space="preserve"> pentru sticlele utilizate ca recipiente de măsurare, aprobat de Guvern, </w:t>
      </w:r>
      <w:proofErr w:type="spellStart"/>
      <w:r w:rsidRPr="00CE4AD0">
        <w:rPr>
          <w:sz w:val="24"/>
          <w:szCs w:val="24"/>
          <w:lang w:val="ro-RO"/>
        </w:rPr>
        <w:t>şi</w:t>
      </w:r>
      <w:proofErr w:type="spellEnd"/>
      <w:r w:rsidRPr="00CE4AD0">
        <w:rPr>
          <w:sz w:val="24"/>
          <w:szCs w:val="24"/>
          <w:lang w:val="ro-RO"/>
        </w:rPr>
        <w:t xml:space="preserve"> umplut în </w:t>
      </w:r>
      <w:proofErr w:type="spellStart"/>
      <w:r w:rsidRPr="00CE4AD0">
        <w:rPr>
          <w:sz w:val="24"/>
          <w:szCs w:val="24"/>
          <w:lang w:val="ro-RO"/>
        </w:rPr>
        <w:t>condiţiile</w:t>
      </w:r>
      <w:proofErr w:type="spellEnd"/>
      <w:r w:rsidRPr="00CE4AD0">
        <w:rPr>
          <w:sz w:val="24"/>
          <w:szCs w:val="24"/>
          <w:lang w:val="ro-RO"/>
        </w:rPr>
        <w:t xml:space="preserve"> prevăzute de regulamentul respectiv</w:t>
      </w:r>
      <w:r w:rsidR="00957CA1" w:rsidRPr="00CE4AD0">
        <w:rPr>
          <w:sz w:val="24"/>
          <w:szCs w:val="24"/>
          <w:lang w:val="ro-RO"/>
        </w:rPr>
        <w:t>, precum și de prezentul Regulament</w:t>
      </w:r>
      <w:r w:rsidRPr="00CE4AD0">
        <w:rPr>
          <w:sz w:val="24"/>
          <w:szCs w:val="24"/>
          <w:lang w:val="ro-RO"/>
        </w:rPr>
        <w:t>.</w:t>
      </w:r>
    </w:p>
    <w:p w14:paraId="55C0DC88" w14:textId="77777777" w:rsidR="00CE4AD0" w:rsidRPr="00CE4AD0" w:rsidRDefault="00CE4AD0" w:rsidP="001C2D9C">
      <w:pPr>
        <w:tabs>
          <w:tab w:val="left" w:pos="0"/>
        </w:tabs>
        <w:ind w:firstLine="567"/>
        <w:jc w:val="center"/>
        <w:rPr>
          <w:b/>
          <w:sz w:val="24"/>
          <w:szCs w:val="24"/>
          <w:lang w:val="ro-RO"/>
        </w:rPr>
      </w:pPr>
    </w:p>
    <w:p w14:paraId="345DA3CD" w14:textId="5D7B1426" w:rsidR="006514A3" w:rsidRPr="00CE4AD0" w:rsidRDefault="006514A3" w:rsidP="001C2D9C">
      <w:pPr>
        <w:tabs>
          <w:tab w:val="left" w:pos="0"/>
        </w:tabs>
        <w:ind w:firstLine="567"/>
        <w:jc w:val="center"/>
        <w:rPr>
          <w:b/>
          <w:sz w:val="24"/>
          <w:szCs w:val="24"/>
          <w:lang w:val="ro-RO"/>
        </w:rPr>
      </w:pPr>
      <w:r w:rsidRPr="00CE4AD0">
        <w:rPr>
          <w:b/>
          <w:sz w:val="24"/>
          <w:szCs w:val="24"/>
          <w:lang w:val="ro-RO"/>
        </w:rPr>
        <w:t>V. CONTROALE EFECTUATE DE CĂTRE</w:t>
      </w:r>
    </w:p>
    <w:p w14:paraId="345DA3CE" w14:textId="77777777" w:rsidR="006514A3" w:rsidRPr="00CE4AD0" w:rsidRDefault="006514A3" w:rsidP="001C2D9C">
      <w:pPr>
        <w:tabs>
          <w:tab w:val="left" w:pos="0"/>
        </w:tabs>
        <w:ind w:firstLine="567"/>
        <w:jc w:val="center"/>
        <w:rPr>
          <w:b/>
          <w:sz w:val="24"/>
          <w:szCs w:val="24"/>
          <w:lang w:val="ro-RO"/>
        </w:rPr>
      </w:pPr>
      <w:r w:rsidRPr="00CE4AD0">
        <w:rPr>
          <w:b/>
          <w:sz w:val="24"/>
          <w:szCs w:val="24"/>
          <w:lang w:val="ro-RO"/>
        </w:rPr>
        <w:t xml:space="preserve"> ORGANUL COMPETENT</w:t>
      </w:r>
    </w:p>
    <w:p w14:paraId="345DA3CF" w14:textId="77777777" w:rsidR="006514A3" w:rsidRPr="00CE4AD0" w:rsidRDefault="006514A3" w:rsidP="001C2D9C">
      <w:pPr>
        <w:tabs>
          <w:tab w:val="left" w:pos="0"/>
          <w:tab w:val="left" w:pos="540"/>
          <w:tab w:val="left" w:pos="702"/>
        </w:tabs>
        <w:ind w:firstLine="567"/>
        <w:jc w:val="both"/>
        <w:rPr>
          <w:sz w:val="24"/>
          <w:szCs w:val="24"/>
          <w:lang w:val="ro-RO"/>
        </w:rPr>
      </w:pPr>
      <w:r w:rsidRPr="00CE4AD0">
        <w:rPr>
          <w:sz w:val="24"/>
          <w:szCs w:val="24"/>
          <w:lang w:val="ro-RO"/>
        </w:rPr>
        <w:t xml:space="preserve">17. Organul competent abilitat cu dreptul de a efectua controlul metrologic legal al produselor preambalate este Inspectoratul de Stat pentru Supravegherea Produselor Nealimentare și Protecția Consumatorilor. Controalele metrologice pentru constatarea corespunderii preambalatelor cu </w:t>
      </w:r>
      <w:proofErr w:type="spellStart"/>
      <w:r w:rsidRPr="00CE4AD0">
        <w:rPr>
          <w:sz w:val="24"/>
          <w:szCs w:val="24"/>
          <w:lang w:val="ro-RO"/>
        </w:rPr>
        <w:t>cerinţele</w:t>
      </w:r>
      <w:proofErr w:type="spellEnd"/>
      <w:r w:rsidRPr="00CE4AD0">
        <w:rPr>
          <w:sz w:val="24"/>
          <w:szCs w:val="24"/>
          <w:lang w:val="ro-RO"/>
        </w:rPr>
        <w:t xml:space="preserve"> cuprinse în prezentul Regulament </w:t>
      </w:r>
      <w:proofErr w:type="spellStart"/>
      <w:r w:rsidRPr="00CE4AD0">
        <w:rPr>
          <w:sz w:val="24"/>
          <w:szCs w:val="24"/>
          <w:lang w:val="ro-RO"/>
        </w:rPr>
        <w:t>sînt</w:t>
      </w:r>
      <w:proofErr w:type="spellEnd"/>
      <w:r w:rsidRPr="00CE4AD0">
        <w:rPr>
          <w:sz w:val="24"/>
          <w:szCs w:val="24"/>
          <w:lang w:val="ro-RO"/>
        </w:rPr>
        <w:t xml:space="preserve"> efectuate de către personalul împuternicit al Inspectoratului de Stat pentru Supravegherea Produselor Nealimentare și Protecția Consumatorilor, conform </w:t>
      </w:r>
      <w:proofErr w:type="spellStart"/>
      <w:r w:rsidRPr="00CE4AD0">
        <w:rPr>
          <w:sz w:val="24"/>
          <w:szCs w:val="24"/>
          <w:lang w:val="ro-RO"/>
        </w:rPr>
        <w:t>legislaţiei</w:t>
      </w:r>
      <w:proofErr w:type="spellEnd"/>
      <w:r w:rsidRPr="00CE4AD0">
        <w:rPr>
          <w:sz w:val="24"/>
          <w:szCs w:val="24"/>
          <w:lang w:val="ro-RO"/>
        </w:rPr>
        <w:t xml:space="preserve"> în vigoare. </w:t>
      </w:r>
    </w:p>
    <w:p w14:paraId="345DA3D0" w14:textId="77777777" w:rsidR="006514A3" w:rsidRPr="00CE4AD0" w:rsidRDefault="006514A3" w:rsidP="001C2D9C">
      <w:pPr>
        <w:tabs>
          <w:tab w:val="left" w:pos="0"/>
          <w:tab w:val="left" w:pos="540"/>
          <w:tab w:val="left" w:pos="702"/>
        </w:tabs>
        <w:ind w:firstLine="567"/>
        <w:jc w:val="both"/>
        <w:rPr>
          <w:sz w:val="24"/>
          <w:szCs w:val="24"/>
          <w:lang w:val="ro-RO"/>
        </w:rPr>
      </w:pPr>
      <w:r w:rsidRPr="00CE4AD0">
        <w:rPr>
          <w:sz w:val="24"/>
          <w:szCs w:val="24"/>
          <w:lang w:val="ro-RO"/>
        </w:rPr>
        <w:t xml:space="preserve">18. În cadrul controlului verificările preambalatelor vor fi efectuate prin </w:t>
      </w:r>
      <w:proofErr w:type="spellStart"/>
      <w:r w:rsidRPr="00CE4AD0">
        <w:rPr>
          <w:sz w:val="24"/>
          <w:szCs w:val="24"/>
          <w:lang w:val="ro-RO"/>
        </w:rPr>
        <w:t>eşantionare</w:t>
      </w:r>
      <w:proofErr w:type="spellEnd"/>
      <w:r w:rsidRPr="00CE4AD0">
        <w:rPr>
          <w:sz w:val="24"/>
          <w:szCs w:val="24"/>
          <w:lang w:val="ro-RO"/>
        </w:rPr>
        <w:t xml:space="preserve"> statistică </w:t>
      </w:r>
      <w:bookmarkStart w:id="0" w:name="OLE_LINK2"/>
      <w:bookmarkStart w:id="1" w:name="OLE_LINK1"/>
      <w:r w:rsidRPr="00CE4AD0">
        <w:rPr>
          <w:sz w:val="24"/>
          <w:szCs w:val="24"/>
          <w:lang w:val="ro-RO"/>
        </w:rPr>
        <w:t>la sediul ambalatorului</w:t>
      </w:r>
      <w:bookmarkEnd w:id="0"/>
      <w:bookmarkEnd w:id="1"/>
      <w:r w:rsidRPr="00CE4AD0">
        <w:rPr>
          <w:sz w:val="24"/>
          <w:szCs w:val="24"/>
          <w:lang w:val="ro-RO"/>
        </w:rPr>
        <w:t xml:space="preserve"> sau al importatorului.</w:t>
      </w:r>
    </w:p>
    <w:p w14:paraId="345DA3D1" w14:textId="77777777" w:rsidR="006514A3" w:rsidRPr="00EC0CC7" w:rsidRDefault="006514A3" w:rsidP="001C2D9C">
      <w:pPr>
        <w:tabs>
          <w:tab w:val="left" w:pos="0"/>
          <w:tab w:val="left" w:pos="540"/>
          <w:tab w:val="left" w:pos="702"/>
        </w:tabs>
        <w:ind w:firstLine="567"/>
        <w:jc w:val="both"/>
        <w:rPr>
          <w:sz w:val="24"/>
          <w:szCs w:val="24"/>
          <w:lang w:val="ro-RO"/>
        </w:rPr>
      </w:pPr>
      <w:r w:rsidRPr="00CE4AD0">
        <w:rPr>
          <w:sz w:val="24"/>
          <w:szCs w:val="24"/>
          <w:lang w:val="ro-RO"/>
        </w:rPr>
        <w:t xml:space="preserve">19. Inspectoratul de Stat pentru Supravegherea Produselor Nealimentare și Protecția Consumatorilor poate efectua verificări la orice etapă a procesului de comercializare a </w:t>
      </w:r>
      <w:r w:rsidRPr="00EC0CC7">
        <w:rPr>
          <w:sz w:val="24"/>
          <w:szCs w:val="24"/>
          <w:lang w:val="ro-RO"/>
        </w:rPr>
        <w:t xml:space="preserve">preambalatelor în scopul verificării corespunderii preambalatelor cu </w:t>
      </w:r>
      <w:proofErr w:type="spellStart"/>
      <w:r w:rsidRPr="00EC0CC7">
        <w:rPr>
          <w:sz w:val="24"/>
          <w:szCs w:val="24"/>
          <w:lang w:val="ro-RO"/>
        </w:rPr>
        <w:t>cerinţele</w:t>
      </w:r>
      <w:proofErr w:type="spellEnd"/>
      <w:r w:rsidRPr="00EC0CC7">
        <w:rPr>
          <w:sz w:val="24"/>
          <w:szCs w:val="24"/>
          <w:lang w:val="ro-RO"/>
        </w:rPr>
        <w:t xml:space="preserve"> prezentului Regulament.</w:t>
      </w:r>
    </w:p>
    <w:p w14:paraId="2786DDC1" w14:textId="77777777" w:rsidR="00EC0CC7" w:rsidRPr="00EC0CC7" w:rsidRDefault="00EC0CC7" w:rsidP="001C2D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333333"/>
          <w:sz w:val="20"/>
          <w:szCs w:val="20"/>
          <w:lang w:val="ro-RO"/>
        </w:rPr>
      </w:pPr>
      <w:r w:rsidRPr="00EC0CC7">
        <w:rPr>
          <w:rStyle w:val="a4"/>
          <w:color w:val="333333"/>
          <w:lang w:val="ro-RO"/>
        </w:rPr>
        <w:t>20.</w:t>
      </w:r>
      <w:r w:rsidRPr="00EC0CC7">
        <w:rPr>
          <w:color w:val="333333"/>
          <w:lang w:val="ro-RO"/>
        </w:rPr>
        <w:t> Controlul statistic prin eșantionare se efectuează în conformitate cu normele acceptate de control al calității. Eficiența sa trebuie să fie comparabilă cu aceea a metodei de referință din anexa nr. 2.</w:t>
      </w:r>
    </w:p>
    <w:p w14:paraId="7BF5F852" w14:textId="77777777" w:rsidR="00EC0CC7" w:rsidRPr="00EC0CC7" w:rsidRDefault="00EC0CC7" w:rsidP="001C2D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333333"/>
          <w:sz w:val="20"/>
          <w:szCs w:val="20"/>
          <w:lang w:val="ro-RO"/>
        </w:rPr>
      </w:pPr>
      <w:r w:rsidRPr="00EC0CC7">
        <w:rPr>
          <w:color w:val="333333"/>
          <w:lang w:val="ro-RO"/>
        </w:rPr>
        <w:t xml:space="preserve">În ceea ce privește criteriul pentru conținutul minim acceptat, planul de eșantionare utilizat de Inspectoratul de Stat pentru Supravegherea Produselor Nealimentare </w:t>
      </w:r>
      <w:proofErr w:type="spellStart"/>
      <w:r w:rsidRPr="00EC0CC7">
        <w:rPr>
          <w:color w:val="333333"/>
          <w:lang w:val="ro-RO"/>
        </w:rPr>
        <w:t>şi</w:t>
      </w:r>
      <w:proofErr w:type="spellEnd"/>
      <w:r w:rsidRPr="00EC0CC7">
        <w:rPr>
          <w:color w:val="333333"/>
          <w:lang w:val="ro-RO"/>
        </w:rPr>
        <w:t xml:space="preserve"> </w:t>
      </w:r>
      <w:proofErr w:type="spellStart"/>
      <w:r w:rsidRPr="00EC0CC7">
        <w:rPr>
          <w:color w:val="333333"/>
          <w:lang w:val="ro-RO"/>
        </w:rPr>
        <w:t>Protecţia</w:t>
      </w:r>
      <w:proofErr w:type="spellEnd"/>
      <w:r w:rsidRPr="00EC0CC7">
        <w:rPr>
          <w:color w:val="333333"/>
          <w:lang w:val="ro-RO"/>
        </w:rPr>
        <w:t xml:space="preserve"> Consumatorilor este comparabil cu planul recomandat la anexa nr. 2, în cazul în care abscisa de la punctul ordonatei 0,10 al curbei caracteristice de eficacitate a primului plan (probabilitatea acceptării lotului = 0,10) are o deviere de mai puțin de 15% față de abscisa punctului corespunzător al curbei caracteristice de eficacitate a planului de eșantionare recomandat la anexa nr. 2.</w:t>
      </w:r>
    </w:p>
    <w:p w14:paraId="26445F5F" w14:textId="77777777" w:rsidR="00EC0CC7" w:rsidRPr="00EC0CC7" w:rsidRDefault="00EC0CC7" w:rsidP="001C2D9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333333"/>
          <w:sz w:val="20"/>
          <w:szCs w:val="20"/>
          <w:lang w:val="ro-RO"/>
        </w:rPr>
      </w:pPr>
      <w:r w:rsidRPr="00EC0CC7">
        <w:rPr>
          <w:color w:val="333333"/>
          <w:lang w:val="ro-RO"/>
        </w:rPr>
        <w:t xml:space="preserve">În ceea ce privește criteriile pentru valoarea medie calculată prin metoda abaterii standard, planul de eșantionare utilizat de Inspectoratul de Stat pentru Supravegherea Produselor Nealimentare </w:t>
      </w:r>
      <w:proofErr w:type="spellStart"/>
      <w:r w:rsidRPr="00EC0CC7">
        <w:rPr>
          <w:color w:val="333333"/>
          <w:lang w:val="ro-RO"/>
        </w:rPr>
        <w:t>şi</w:t>
      </w:r>
      <w:proofErr w:type="spellEnd"/>
      <w:r w:rsidRPr="00EC0CC7">
        <w:rPr>
          <w:color w:val="333333"/>
          <w:lang w:val="ro-RO"/>
        </w:rPr>
        <w:t xml:space="preserve"> </w:t>
      </w:r>
      <w:proofErr w:type="spellStart"/>
      <w:r w:rsidRPr="00EC0CC7">
        <w:rPr>
          <w:color w:val="333333"/>
          <w:lang w:val="ro-RO"/>
        </w:rPr>
        <w:t>Protecţia</w:t>
      </w:r>
      <w:proofErr w:type="spellEnd"/>
      <w:r w:rsidRPr="00EC0CC7">
        <w:rPr>
          <w:color w:val="333333"/>
          <w:lang w:val="ro-RO"/>
        </w:rPr>
        <w:t xml:space="preserve"> Consumatorilor este comparabil cu cel recomandat în anexa nr.2, în cazul în care ținând cont de curbele caracteristice de eficacitate ale celor două planuri care au axa abscisei</w:t>
      </w:r>
      <w:r w:rsidR="001C2D9C">
        <w:rPr>
          <w:color w:val="333333"/>
          <w:lang w:val="ro-RO"/>
        </w:rPr>
        <w:pict w14:anchorId="12321C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alt="image" style="width:31.5pt;height:27pt">
            <v:imagedata r:id="rId4" o:title="F613FFB"/>
          </v:shape>
        </w:pict>
      </w:r>
      <w:r w:rsidRPr="00EC0CC7">
        <w:rPr>
          <w:color w:val="333333"/>
          <w:lang w:val="ro-RO"/>
        </w:rPr>
        <w:t> , valoarea abscisei de la punctul ordonatei 0,10 al curbei a primului plan (probabilitatea acceptării lotului = 0,10) are o deviere de mai puțin de 0,05 ori din valoarea abscisei punctului corespunzător al curbei planului de eșantionare recomandat la anexa nr. 2.</w:t>
      </w:r>
    </w:p>
    <w:p w14:paraId="316EDB1C" w14:textId="1C876B75" w:rsidR="00403E6C" w:rsidRPr="00EC0CC7" w:rsidRDefault="00403E6C" w:rsidP="00EC0CC7">
      <w:pPr>
        <w:tabs>
          <w:tab w:val="left" w:pos="0"/>
          <w:tab w:val="left" w:pos="540"/>
          <w:tab w:val="left" w:pos="702"/>
        </w:tabs>
        <w:ind w:firstLine="680"/>
        <w:jc w:val="both"/>
        <w:rPr>
          <w:i/>
          <w:iCs/>
          <w:color w:val="0000FF"/>
          <w:sz w:val="24"/>
          <w:szCs w:val="24"/>
          <w:lang w:val="ro-RO"/>
        </w:rPr>
      </w:pPr>
    </w:p>
    <w:sectPr w:rsidR="00403E6C" w:rsidRPr="00EC0CC7" w:rsidSect="00B0087D">
      <w:pgSz w:w="11906" w:h="16838"/>
      <w:pgMar w:top="1078" w:right="1106" w:bottom="1258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0945"/>
    <w:rsid w:val="00064D5A"/>
    <w:rsid w:val="00140945"/>
    <w:rsid w:val="00151DE2"/>
    <w:rsid w:val="001A6164"/>
    <w:rsid w:val="001B758E"/>
    <w:rsid w:val="001C2D9C"/>
    <w:rsid w:val="00350876"/>
    <w:rsid w:val="00403E6C"/>
    <w:rsid w:val="004160CA"/>
    <w:rsid w:val="004E4BFB"/>
    <w:rsid w:val="005852F8"/>
    <w:rsid w:val="00617A55"/>
    <w:rsid w:val="00632FC6"/>
    <w:rsid w:val="006514A3"/>
    <w:rsid w:val="00957CA1"/>
    <w:rsid w:val="00972991"/>
    <w:rsid w:val="00985B84"/>
    <w:rsid w:val="00985BB7"/>
    <w:rsid w:val="00B0087D"/>
    <w:rsid w:val="00C06340"/>
    <w:rsid w:val="00C62DAE"/>
    <w:rsid w:val="00C9156F"/>
    <w:rsid w:val="00C96E21"/>
    <w:rsid w:val="00CB5643"/>
    <w:rsid w:val="00CE4AD0"/>
    <w:rsid w:val="00E31F59"/>
    <w:rsid w:val="00E64A04"/>
    <w:rsid w:val="00E8366E"/>
    <w:rsid w:val="00EA3745"/>
    <w:rsid w:val="00EC0CC7"/>
    <w:rsid w:val="00F4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45DA367"/>
  <w15:docId w15:val="{8FD008BD-C42D-4613-BA1B-2E8C20346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945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t">
    <w:name w:val="tt"/>
    <w:basedOn w:val="a"/>
    <w:uiPriority w:val="99"/>
    <w:rsid w:val="00140945"/>
    <w:pPr>
      <w:jc w:val="center"/>
    </w:pPr>
    <w:rPr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C0CC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4">
    <w:name w:val="Strong"/>
    <w:uiPriority w:val="22"/>
    <w:qFormat/>
    <w:locked/>
    <w:rsid w:val="00EC0C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1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1250</Words>
  <Characters>7254</Characters>
  <Application>Microsoft Office Word</Application>
  <DocSecurity>0</DocSecurity>
  <Lines>60</Lines>
  <Paragraphs>16</Paragraphs>
  <ScaleCrop>false</ScaleCrop>
  <Company>CtrlSoft</Company>
  <LinksUpToDate>false</LinksUpToDate>
  <CharactersWithSpaces>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</dc:creator>
  <cp:keywords/>
  <dc:description/>
  <cp:lastModifiedBy>Rita Pavalachii</cp:lastModifiedBy>
  <cp:revision>24</cp:revision>
  <dcterms:created xsi:type="dcterms:W3CDTF">2014-11-07T08:44:00Z</dcterms:created>
  <dcterms:modified xsi:type="dcterms:W3CDTF">2025-03-19T14:48:00Z</dcterms:modified>
</cp:coreProperties>
</file>